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43"/>
          <w:szCs w:val="43"/>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4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239395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0"/>
          </w:cols>
          <w:pgMar w:left="320" w:top="225"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320" w:top="455"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Quarterly Report of Melco Resorts Finance Limited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Melco Resorts Finance Limited’s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quarterly report provides Melco Resorts Finance Limited’s unaudited condensed consolidated financial statements, comprising condensed consolidated balance sheets, condensed consolidated statements of operations and condensed consolidated statements of cash flows, for the three months ended March 31, 2026, together with the related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Melco Resorts Finance Limited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for the First Quarter of 2026</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GLOSSARY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CONDITION AND RESULTS OF OPERATIONS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INDEX TO UNAUDITED CONDENSED CONSOLIDATED FINANCIAL STATEMENTS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65"/>
        </w:trPr>
        <w:tc>
          <w:tcPr>
            <w:tcW w:w="87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quarterly report, unless otherwise indicated:</w:t>
      </w:r>
    </w:p>
    <w:p>
      <w:pPr>
        <w:spacing w:after="0" w:line="131" w:lineRule="exact"/>
        <w:rPr>
          <w:sz w:val="20"/>
          <w:szCs w:val="20"/>
          <w:color w:val="auto"/>
        </w:rPr>
      </w:pPr>
    </w:p>
    <w:p>
      <w:pPr>
        <w:ind w:left="320" w:right="98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MRF Senior Notes” refers to the US$600.0 million aggregate principal amount of 5.625% senior notes due 2027 we issued on July 17, 2019;</w:t>
      </w:r>
    </w:p>
    <w:p>
      <w:pPr>
        <w:spacing w:after="0" w:line="6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MRF Senior Notes” refers to the US$850.0 million aggregate principal amount of 5.750% senior notes due 2028 we issued, of which</w:t>
      </w:r>
    </w:p>
    <w:p>
      <w:pPr>
        <w:spacing w:after="0" w:line="27" w:lineRule="exact"/>
        <w:rPr>
          <w:rFonts w:ascii="Times New Roman" w:cs="Times New Roman" w:eastAsia="Times New Roman" w:hAnsi="Times New Roman"/>
          <w:sz w:val="18"/>
          <w:szCs w:val="18"/>
          <w:color w:val="auto"/>
        </w:rPr>
      </w:pPr>
    </w:p>
    <w:p>
      <w:pPr>
        <w:ind w:left="32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US$500.0 million in aggregate principal amount was issued on July 21, 2020 and US$350.0 million in aggregate principal amount was issued on August 11, 2020;</w:t>
      </w:r>
    </w:p>
    <w:p>
      <w:pPr>
        <w:spacing w:after="0" w:line="86"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MRF Senior Notes” refers to the US$1.15 billion aggregate principal amount of 5.375% senior notes due 2029 we issued, of which</w:t>
      </w:r>
    </w:p>
    <w:p>
      <w:pPr>
        <w:spacing w:after="0" w:line="27" w:lineRule="exact"/>
        <w:rPr>
          <w:rFonts w:ascii="Times New Roman" w:cs="Times New Roman" w:eastAsia="Times New Roman" w:hAnsi="Times New Roman"/>
          <w:sz w:val="18"/>
          <w:szCs w:val="18"/>
          <w:color w:val="auto"/>
        </w:rPr>
      </w:pPr>
    </w:p>
    <w:p>
      <w:pPr>
        <w:ind w:lef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US$900.0 million in aggregate principal amount was issued on December 4, 2019 and US$250.0 million in aggregate principal amount was issued on January 21, 2021;</w:t>
      </w:r>
    </w:p>
    <w:p>
      <w:pPr>
        <w:spacing w:after="0" w:line="86" w:lineRule="exact"/>
        <w:rPr>
          <w:rFonts w:ascii="Times New Roman" w:cs="Times New Roman" w:eastAsia="Times New Roman" w:hAnsi="Times New Roman"/>
          <w:sz w:val="18"/>
          <w:szCs w:val="18"/>
          <w:color w:val="auto"/>
        </w:rPr>
      </w:pPr>
    </w:p>
    <w:p>
      <w:pPr>
        <w:ind w:left="320" w:right="98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 MRF Senior Notes” refers to the US$750.0 million aggregate principal amount of 7.625% senior notes due 2032 we issued on April 17, 2024;</w:t>
      </w:r>
    </w:p>
    <w:p>
      <w:pPr>
        <w:spacing w:after="0" w:line="67" w:lineRule="exact"/>
        <w:rPr>
          <w:rFonts w:ascii="Times New Roman" w:cs="Times New Roman" w:eastAsia="Times New Roman" w:hAnsi="Times New Roman"/>
          <w:sz w:val="18"/>
          <w:szCs w:val="18"/>
          <w:color w:val="auto"/>
        </w:rPr>
      </w:pPr>
    </w:p>
    <w:p>
      <w:pPr>
        <w:ind w:left="320" w:right="98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“2033 MRF Senior Notes” refers to the US$500.0 million aggregate principal amount of 6.500% senior notes due 2033 we issued on September 24, 2025;</w:t>
      </w:r>
    </w:p>
    <w:p>
      <w:pPr>
        <w:spacing w:after="0" w:line="6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320" w:right="20" w:hanging="316"/>
        <w:spacing w:after="0" w:line="281"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69" w:lineRule="exact"/>
        <w:rPr>
          <w:rFonts w:ascii="Times New Roman" w:cs="Times New Roman" w:eastAsia="Times New Roman" w:hAnsi="Times New Roman"/>
          <w:sz w:val="17"/>
          <w:szCs w:val="17"/>
          <w:color w:val="auto"/>
        </w:rPr>
      </w:pPr>
    </w:p>
    <w:p>
      <w:pPr>
        <w:ind w:left="320" w:right="20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Macau, which currently features gaming areas and luxury hotels, a collection of retail brands, a wet stage performance theater and other entertainment venues and food and beverage offers;</w:t>
      </w:r>
    </w:p>
    <w:p>
      <w:pPr>
        <w:spacing w:after="0" w:line="67" w:lineRule="exact"/>
        <w:rPr>
          <w:rFonts w:ascii="Times New Roman" w:cs="Times New Roman" w:eastAsia="Times New Roman" w:hAnsi="Times New Roman"/>
          <w:sz w:val="18"/>
          <w:szCs w:val="18"/>
          <w:color w:val="auto"/>
        </w:rPr>
      </w:pPr>
    </w:p>
    <w:p>
      <w:pPr>
        <w:ind w:left="320" w:right="160" w:hanging="316"/>
        <w:spacing w:after="0" w:line="266"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Melco Resorts Macau on December 16, 2022, as amended on February 10, 2026, that provides for the terms and conditions of the concession granted to Melco Resorts Macau, from January 1, 2023 to December 31, 2032;</w:t>
      </w:r>
    </w:p>
    <w:p>
      <w:pPr>
        <w:spacing w:after="0" w:line="8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30"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refers to our subsidiary, Melco Resorts (Macau) Limited, a Macau company and the holder of our gaming concession;</w:t>
      </w:r>
    </w:p>
    <w:p>
      <w:pPr>
        <w:spacing w:after="0" w:line="130" w:lineRule="exact"/>
        <w:rPr>
          <w:rFonts w:ascii="Times New Roman" w:cs="Times New Roman" w:eastAsia="Times New Roman" w:hAnsi="Times New Roman"/>
          <w:sz w:val="18"/>
          <w:szCs w:val="18"/>
          <w:color w:val="auto"/>
        </w:rPr>
      </w:pPr>
    </w:p>
    <w:p>
      <w:pPr>
        <w:ind w:left="320" w:right="20" w:hanging="316"/>
        <w:spacing w:after="0" w:line="255"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“MN1 2020 Revolving Facilities” refers to the senior facilities agreement dated April 29, 2020, entered into between, among others, MCO Nominee One Limited (“MCO Nominee One”), our subsidiary and as borrower, and Bank of China Limited, Macau Branch, Bank of Communications Co., Ltd. Macau Branch and Morgan Stanley Senior Funding, Inc., as joint global coordinators, under which lenders have made available HK$14.85 billion (equivalent to US$1.92 billion) in a revolving credit facility for an initial term of five years, and which has been amended and restated under the MN1 2023 Amendment and Restatement and the MN1 2024 Amendment and Restatement including an extension of the maturity date to April 29, 2027, and an increase in the overall commitments by HK$387.5 million (equivalent to US$49.8 million) to HK$15.24 billion (equivalent to US$1.96 billion) pursuant to the establishment of an incremental facility in February 2025;</w:t>
      </w:r>
    </w:p>
    <w:p>
      <w:pPr>
        <w:spacing w:after="0" w:line="94" w:lineRule="exact"/>
        <w:rPr>
          <w:rFonts w:ascii="Times New Roman" w:cs="Times New Roman" w:eastAsia="Times New Roman" w:hAnsi="Times New Roman"/>
          <w:sz w:val="18"/>
          <w:szCs w:val="18"/>
          <w:color w:val="auto"/>
        </w:rPr>
      </w:pPr>
    </w:p>
    <w:p>
      <w:pPr>
        <w:ind w:left="320" w:right="80" w:hanging="316"/>
        <w:spacing w:after="0" w:line="256"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“MN1 2023 Amendment and Restatement” refers to the Amendment and Restatement Agreement dated June 29, 2023 among MCO Nominee One, MCO Investments Limited, Melco Resorts Finance, MCO International Limited, and Bank of China Limited, Macau Branch, acting as the facility agent, to amend the provisions of the MN1 2020 Revolving Facilities such that borrowings under the MN1 2020 Revolving Facilities denominated in U.S. dollars bear interest at the term Secured Overnight Financing Rate plus an applicable credit adjustment spread ranging from 0.06% to 0.20% per annum, as adjusted in accordance with the interest period, and a margin ranging from 1.00% to 2.00% per annum as adjusted in accordance with the leverage ratio in respect of MCO Nominee One and certain of its specified subsidiaries;</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40" w:top="266" w:right="479" w:bottom="1440" w:gutter="0" w:footer="0" w:header="0"/>
        </w:sectPr>
      </w:pPr>
    </w:p>
    <w:bookmarkStart w:id="7" w:name="page8"/>
    <w:bookmarkEnd w:id="7"/>
    <w:p>
      <w:pPr>
        <w:ind w:left="420" w:right="42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“MN1 2024 Amendment and Restatement” refers to the Second Amendment and Restatement Agreement dated April 8, 2024 among MCO Nominee One, MCO Investments Limited, Melco Resorts Finance, MCO International Limited, and Bank of China Limited, Macau Branch, acting as the facility agent, to amend, among other things, the maturity date of the MN1 2020 Revolving Facilities to April 29, 2027;</w:t>
      </w:r>
    </w:p>
    <w:p>
      <w:pPr>
        <w:spacing w:after="0" w:line="81" w:lineRule="exact"/>
        <w:rPr>
          <w:rFonts w:ascii="Times New Roman" w:cs="Times New Roman" w:eastAsia="Times New Roman" w:hAnsi="Times New Roman"/>
          <w:sz w:val="18"/>
          <w:szCs w:val="18"/>
          <w:color w:val="auto"/>
        </w:rPr>
      </w:pPr>
    </w:p>
    <w:p>
      <w:pPr>
        <w:ind w:left="420" w:right="3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“Mocha Clubs” refers to, collectively, our clubs with gaming machines in Macau, which are non-casino based operations of electronic gaming machines;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420" w:hanging="316"/>
        <w:spacing w:after="0" w:line="255"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“MRM 2015 Credit Facilities” refers to the HK$13.65 billion (equivalent to US$1.75 billion) senior secured credit facilities agreement dated June 19, 2015, entered into by Melco Resorts Macau, as borrower, comprising (i) a Hong Kong dollar term loan facility of HK$3.90 billion (equivalent to US$500.0 million) with a term of six years and (ii) a HK$9.75 billion (equivalent to US$1.25 billion) revolving credit facility, and following the repayment of all outstanding loan amounts, together with accrued interest and associated costs on May 7, 2020, other than the HK$1.0 million (equivalent to US$0.1 million) which remains outstanding under the term loan facility, and the HK$1.0 million (equivalent to US$0.1 million) revolving credit facility commitment which remains available under the revolving credit facility, all other commitments under the MRM 2015 Credit Facilities were canceled, with the maturity date extended to June 24, 2026;</w:t>
      </w:r>
    </w:p>
    <w:p>
      <w:pPr>
        <w:spacing w:after="0" w:line="94" w:lineRule="exact"/>
        <w:rPr>
          <w:rFonts w:ascii="Times New Roman" w:cs="Times New Roman" w:eastAsia="Times New Roman" w:hAnsi="Times New Roman"/>
          <w:sz w:val="18"/>
          <w:szCs w:val="18"/>
          <w:color w:val="auto"/>
        </w:rPr>
      </w:pPr>
    </w:p>
    <w:p>
      <w:pPr>
        <w:ind w:left="420" w:right="2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concession” and “our gaming concession” refer to the Macau gaming concession held by Melco Resorts Macau, effective from January 1, 2023 until December 31, 2032;</w:t>
      </w:r>
    </w:p>
    <w:p>
      <w:pPr>
        <w:spacing w:after="0" w:line="67" w:lineRule="exact"/>
        <w:rPr>
          <w:rFonts w:ascii="Times New Roman" w:cs="Times New Roman" w:eastAsia="Times New Roman" w:hAnsi="Times New Roman"/>
          <w:sz w:val="18"/>
          <w:szCs w:val="18"/>
          <w:color w:val="auto"/>
        </w:rPr>
      </w:pPr>
    </w:p>
    <w:p>
      <w:pPr>
        <w:ind w:left="420" w:right="2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“Melco Resorts” refer to Melco Resorts &amp; Entertainment Limited, a Cayman Islands exempted company with limited liability, the American depositary shares of which are listed on the Nasdaq Global Select Market;</w:t>
      </w:r>
    </w:p>
    <w:p>
      <w:pPr>
        <w:spacing w:after="0" w:line="67" w:lineRule="exact"/>
        <w:rPr>
          <w:rFonts w:ascii="Times New Roman" w:cs="Times New Roman" w:eastAsia="Times New Roman" w:hAnsi="Times New Roman"/>
          <w:sz w:val="18"/>
          <w:szCs w:val="18"/>
          <w:color w:val="auto"/>
        </w:rPr>
      </w:pPr>
    </w:p>
    <w:p>
      <w:pPr>
        <w:ind w:left="420" w:right="1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 refers to Studio City International Holdings Limited, an exempted company registered by way of continuation in the Cayman Islands, the American depositary shares of which are listed on the New York Stock Exchange;</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ind w:left="420" w:hanging="316"/>
        <w:spacing w:after="0" w:line="261"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refers to our affiliate, Studio City Entertainment Limited, a Macau company which is a subsidiary of the Parent;</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30" w:lineRule="exact"/>
        <w:rPr>
          <w:rFonts w:ascii="Times New Roman" w:cs="Times New Roman" w:eastAsia="Times New Roman" w:hAnsi="Times New Roman"/>
          <w:sz w:val="18"/>
          <w:szCs w:val="18"/>
          <w:color w:val="auto"/>
        </w:rPr>
      </w:pPr>
    </w:p>
    <w:p>
      <w:pPr>
        <w:ind w:left="420" w:right="4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“Melco Resorts Finance” and “the Company” refer to Melco Resorts Finance Limited and, as the context requires, its predecessor entities and its consolidated subsidiaries.</w:t>
      </w:r>
    </w:p>
    <w:p>
      <w:pPr>
        <w:spacing w:after="0" w:line="16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report includes our unaudited condensed consolidated financial statements for the three months ended March 31, 2026.</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quarterly report have been subject to rounding adjustments. Certain other amounts that appear in this quarterly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quarterly report are forward-looking statements. These statements involve known and unknown risks, uncertainties and other factors that may cause our actual results, performances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9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9" w:name="page10"/>
    <w:bookmarkEnd w:id="9"/>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 box”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33" w:lineRule="exact"/>
        <w:rPr>
          <w:sz w:val="20"/>
          <w:szCs w:val="20"/>
          <w:color w:val="auto"/>
        </w:rPr>
      </w:pPr>
    </w:p>
    <w:p>
      <w:pPr>
        <w:ind w:right="1160"/>
        <w:spacing w:after="0" w:line="421"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“junket player”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w:t>
      </w:r>
    </w:p>
    <w:p>
      <w:pPr>
        <w:spacing w:after="0" w:line="117" w:lineRule="exact"/>
        <w:rPr>
          <w:sz w:val="20"/>
          <w:szCs w:val="20"/>
          <w:color w:val="auto"/>
        </w:rPr>
      </w:pPr>
    </w:p>
    <w:p>
      <w:pPr>
        <w:ind w:right="1280"/>
        <w:spacing w:after="0" w:line="445" w:lineRule="auto"/>
        <w:rPr>
          <w:sz w:val="20"/>
          <w:szCs w:val="20"/>
          <w:color w:val="auto"/>
        </w:rPr>
      </w:pPr>
      <w:r>
        <w:rPr>
          <w:rFonts w:ascii="Times New Roman" w:cs="Times New Roman" w:eastAsia="Times New Roman" w:hAnsi="Times New Roman"/>
          <w:sz w:val="17"/>
          <w:szCs w:val="17"/>
          <w:color w:val="auto"/>
        </w:rPr>
        <w:t>“mass market patron” “mass market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table games drop”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“mass market table games hold percentage”</w:t>
      </w:r>
    </w:p>
    <w:p>
      <w:pPr>
        <w:spacing w:after="0" w:line="200" w:lineRule="exact"/>
        <w:rPr>
          <w:sz w:val="20"/>
          <w:szCs w:val="20"/>
          <w:color w:val="auto"/>
        </w:rPr>
      </w:pPr>
    </w:p>
    <w:p>
      <w:pPr>
        <w:spacing w:after="0" w:line="361" w:lineRule="exact"/>
        <w:rPr>
          <w:sz w:val="20"/>
          <w:szCs w:val="20"/>
          <w:color w:val="auto"/>
        </w:rPr>
      </w:pPr>
    </w:p>
    <w:p>
      <w:pPr>
        <w:ind w:right="380"/>
        <w:spacing w:after="0" w:line="407" w:lineRule="auto"/>
        <w:rPr>
          <w:sz w:val="20"/>
          <w:szCs w:val="20"/>
          <w:color w:val="auto"/>
        </w:rPr>
      </w:pPr>
      <w:r>
        <w:rPr>
          <w:rFonts w:ascii="Times New Roman" w:cs="Times New Roman" w:eastAsia="Times New Roman" w:hAnsi="Times New Roman"/>
          <w:sz w:val="18"/>
          <w:szCs w:val="18"/>
          <w:color w:val="auto"/>
        </w:rPr>
        <w:t>“mass market table games operations” “MICE”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 secure room within a casino or gaming area with a facility that allows patrons to carry out transactions required to participate in gaming activities, such as exchange of cash for chips and exchange of chips for cash or other chips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gaming machine win (calculated before other incentives and allocating casino revenues related to goods and services provided to gaming patrons on a complimentary basis) expressed as a percentage of gaming machine handle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gaming areas, retail and dining facilities, MICE space, entertainment venues and spas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a gaming operator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operations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in the mass market table games operations</w:t>
      </w:r>
    </w:p>
    <w:p>
      <w:pPr>
        <w:spacing w:after="0" w:line="11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other incentives and allocating casino revenues related to goods and services provided to gaming patrons on a complimentary basis) as a percentage of mass market table games drop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operations consisting of mass market patrons who play table games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5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3140" w:space="500"/>
            <w:col w:w="736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“premium direct player”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200" w:lineRule="exact"/>
        <w:rPr>
          <w:sz w:val="20"/>
          <w:szCs w:val="20"/>
          <w:color w:val="auto"/>
        </w:rPr>
      </w:pPr>
    </w:p>
    <w:p>
      <w:pPr>
        <w:spacing w:after="0" w:line="349" w:lineRule="exact"/>
        <w:rPr>
          <w:sz w:val="20"/>
          <w:szCs w:val="20"/>
          <w:color w:val="auto"/>
        </w:rPr>
      </w:pPr>
    </w:p>
    <w:p>
      <w:pPr>
        <w:ind w:right="360"/>
        <w:spacing w:after="0" w:line="407" w:lineRule="auto"/>
        <w:rPr>
          <w:sz w:val="20"/>
          <w:szCs w:val="20"/>
          <w:color w:val="auto"/>
        </w:rPr>
      </w:pPr>
      <w:r>
        <w:rPr>
          <w:rFonts w:ascii="Times New Roman" w:cs="Times New Roman" w:eastAsia="Times New Roman" w:hAnsi="Times New Roman"/>
          <w:sz w:val="18"/>
          <w:szCs w:val="18"/>
          <w:color w:val="auto"/>
        </w:rPr>
        <w:t>“rolling chip” or “VIP rolling chip” “rolling chip patron”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volume”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win 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games win”</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a gaming operator and is attracted to the casino through marketing efforts of a gaming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-391160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jackpot for a gaming machine or table game where the value of the jackpot increases as wagers are made; multiple gaming machines or table games may be linked together to establish one progressive jackpot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areas designated for rolling chip patrons who are either premium direct players or junket players</w:t>
      </w:r>
    </w:p>
    <w:p>
      <w:pPr>
        <w:spacing w:after="0" w:line="5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amount of non-negotiable chips net buy-in plus the amount of cash chips converted to non-negotiable chips</w:t>
      </w:r>
    </w:p>
    <w:p>
      <w:pPr>
        <w:spacing w:after="0" w:line="5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other incentives and allocating casino revenues related to goods and services provided to gaming patrons on a complimentary basis) as a percentage of rolling chip volume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or electronic gaming machine operated by a single player</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 Table games win is calculated before discounts, commissions, other incentives and allocating casino revenues related to goods and services provided to gaming patrons on a complimentary basis</w:t>
      </w:r>
    </w:p>
    <w:p>
      <w:pPr>
        <w:spacing w:after="0" w:line="11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920" w:space="720"/>
            <w:col w:w="7280"/>
          </w:cols>
          <w:pgMar w:left="440" w:top="270" w:right="5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RATE INFORMATION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majority of our current revenues are denominated in H.K. dollars, while our current expenses are denominated predominantly in Patacas and H.K. dollars and in connection with a portion of our indebtedness and certain expenses, in U.S. dollars. The non-financial pages of this quarterly report include all translations from H.K. dollars to U.S. dollars and from U.S. dollars to H.K. dollars at a rate of HK$7.836499 to US$1.00, unless otherwise noted.</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6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in the non-financial pages of this quarterly report were made at the exchange rate of MOP8.071611 to US$1.00.</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this quarterly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CONDITION AND RESULTS OF OPERATIONS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2025. The historical results are not necessarily indicative of the results of operations to be expected in the future. Certain statements in this “Financial Condition and Results of Operations” are forward-looking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first quarter of 2026, our total operating revenues were US$1.21 billion, an increase of 9.9% from US$1.11 billion for the first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increase in total operating revenues was primarily attributable to improved performance in mass market operations</w:t>
      </w:r>
    </w:p>
    <w:p>
      <w:pPr>
        <w:spacing w:after="0" w:line="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and overall non-gaming operations at City of Dreams, as well as increased casino revenues generated from the operations of Studio City Casino by our subsidiary, Melco Resorts Macau, the gaming concessionaire. Net income/loss from Studio City Casino gaming operations are reimbursed to/from Studio City Entertainment for the operation of the Studio City Casino pursuant to the Studio City Casino Agreement. Such reimbursement is included in general and administrative expenses.</w:t>
      </w:r>
    </w:p>
    <w:p>
      <w:pPr>
        <w:spacing w:after="0" w:line="18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Net income for the first quarter of 2026 was US$68.2 million, compared with US$34.5 million for the first quarter of 2025. The change was primarily attributable to the improved performance at City of Dreams mentioned above and higher interest income on intercompany loans to affiliated companies as a result of certain intercompany loan restructuring activities undertaken in late 2025.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results of our operations: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1,214,705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1,105,600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99"/>
              </w:rPr>
              <w:t>(1,085,786)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(994,751)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128,919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110,849</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68,239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 of Dreams First Quarter Results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2026, total operating revenues at City of Dreams were US$783.4 million, compared with US$703.7 million in the first quarter of 2025. The year-over-year increase in the total operating revenues was primarily a result of improved mass market performance and better overall performance in non-gaming operations.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Rolling chip volume increased to US$6.37 billion during the first quarter of 2026, compared with US$6.05 billion in the first quarter of 2025 and win rate was 3.50% in the first quarter of 2026, compared with 3.74% in the first quarter of 2025. The expected rolling chip win rate range is 2.85%-3.15%.</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Mass market table games drop increased to US$1.71 billion in the first quarter of 2026, compared with US$1.59 billion in the first quarter of 2025 and hold percentage was 31.6% in the first quarter of 2026, compared with 30.2% in the first quarter of 2025.</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Gaming machine handle for the first quarter of 2026 was US$1.72 billion, compared with US$0.91 billion in the first quarter of 2025 and win rate was 2.9% in the first quarter of 2026, compared with 3.2% in the first quarter of 2025.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3" w:name="page14"/>
    <w:bookmarkEnd w:id="13"/>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Total non-gaming revenue at City of Dreams in the first quarter of 2026 was US$143.2 million, compared with US$127.0 million in the first quarter of 2025. The increase in total non-gaming revenue at City of Dreams was primarily attributable to the relaunch of House of Dancing Water in May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Altira Macau First Quarter Results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total operating revenues at Altira Macau were US$38.2 million, compared with US$28.0 million in the first quarter of 2025. The year-over-year increase in the total operating revenues was primarily a result of better mass market performance.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Mass market table games drop was US$145.8 million in the first quarter of 2026, compared with US$108.8 million in the first quarter of 2025 and hold percentage was 23.0% in the first quarter of 2026, compared with 22.4% in the first quarter of 2025.</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Gaming machine handle for the first quarter of 2026 was US$208.6 million, compared with US$131.6 million in the first quarter of 2025 and win rate was 3.7% in the first quarter of 2026, compared with 2.9% in the first quarter of 2025.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non-gaming revenue at Altira Macau in the first quarter of 2026 was US$5.5 million, compared with US$5.0 million in the first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Mocha First Quarter Results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Prior to the fourth quarter of 2025, the Mocha and Other segment included the operations of Grand Dragon Casino before its closure in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This segment has been renamed to the Mocha segment from the fourth quarter of 2025 onwards.</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Following the government mandated closures in 2025 as described in the annual report for the year ended December 31, 2025, the Mocha segment now includes the results for three Mocha Clubs, namely Mocha Inner Harbour, Mocha Golden Dragon and Mocha Hotel Sintra.</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Total operating revenues from Mocha were US$15.2 million in the first quarter of 2026, compared with US$30.6 million from Mocha and Other in the first quarter of 2025.</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Gaming machine handle for the first quarter of 2026 was US$381.1 million, compared with US$558.8 million in the first quarter of 2025 and win rate was 4.0% for both first quarters of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 Affecting First Quarter Earnings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Total net non-operating expenses for the first quarter of 2026 were US$58.6 million, which mainly included interest expense of US$75.2 million and net foreign exchange losses of US$12.6 million, partially offset by interest income of US$24.0 million, compared with US$74.4 million for the first quarter of 2025, which mainly included interest expense of US$80.6 million, partially offset by interest income of US$3.8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We may obtain financing in the form of, among other things, equity or debt, including additional bank loans or high yield, mezzanine or other debt, or rely on our operating cash flow to fund the maintenance, enhancement and development of our projects. We expect to have significant capital expenditures in the future as we continue to maintain, enhance and develop our properties. We have relied, and intend in the future to rely, on our operating cash flow and different forms of financing to meet our funding needs and repay our indebtedness, as the case may be. Any other future developments may be subject to further financing and a number of other factors, many of which are beyond our control.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March 31, 2026, we held cash and cash equivalents of US$500.5 million and restricted cash of US$124.2 million (being cash collateral for concession-related guarantees issued to the Macau government and security under credit facilities). Further, HK$8.81 billion (equivalent to US$1.12 billion) of the MN1 2020 Revolving Facilities and HK$1.0 million (equivalent to US$0.1 million) of the revolving credit facility under the MRM 2015 Credit Facilities were available for future drawdown as of March 31, 2026, subject to satisfaction of certain conditions precedent.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780" w:type="dxa"/>
            <w:vAlign w:val="bottom"/>
            <w:gridSpan w:val="5"/>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68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1"/>
              </w:rPr>
              <w:t>$ 118,869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70,387</w:t>
            </w: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(38,919)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(41,795)</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(69,083)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(4,102)</w:t>
            </w: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618,143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618,183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624,647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641,526</w:t>
            </w: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US$118.9 million for the first quarter of 2026, compared to US$70.4 million for the first quarter of 2025. The change was primarily driven by improved performance resulting from higher business volumes in the first quarter of 2026, partially offset by an increase in accounts receivable which was in-line with the increased business volumes.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US$38.9 million for the first quarter of 2026 mainly included payments for acquisition of property and equipment of US$62.9 million, partially offset by repayments of loans or advances from an affiliated company to us of US$26.6 million.</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US$41.8 million for the first quarter of 2025 mainly included payments for acquisition of property and equipment of US$37.0 million and payments for acquisition of intangible and other assets of US$4.8 million.</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Our total payments for acquisition of property and equipment were US$62.9 million and US$37.0 million for the first quarters of 2026 and 2025, respectively. Such capital expenditures were mainly associated with our development projects, as well as enhancement to our integrated resort offerings.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used in financing activities amounted to US$69.1 million for the first quarter of 2026, which represented the repayment of aggregate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outstanding of the MN1 2020 Revolving Facilities of US$59.8 million and payments of intangible asset liabilities of US$9.3 million.</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amounted to US$4.1 million for the first quarter of 2025, which primarily represented the payments of intangible asset liabilities of US$3.9 million.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our gross indebtedness as of March 31, 2026:</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73"/>
        </w:trPr>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60" w:type="dxa"/>
            <w:vAlign w:val="bottom"/>
            <w:gridSpan w:val="2"/>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MRF Senior Notes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1,150,000</w:t>
            </w:r>
          </w:p>
        </w:tc>
        <w:tc>
          <w:tcPr>
            <w:tcW w:w="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MN1 2020 Revolving Facilities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820,775</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MRF Senior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850,000</w:t>
            </w:r>
          </w:p>
        </w:tc>
        <w:tc>
          <w:tcPr>
            <w:tcW w:w="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2032 MRF Senior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MRF Senior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2033 MRF Senior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MRM 2015 Credit Facilities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4,670,902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changes in our indebtedness during the period ended and subsequent to March 31, 2026 are summarized below.</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MCO Nominee One repaid HK$467.0 million (equivalent to US$59.8 million) in aggregate principal amount outstanding under the MN1 2020 Revolving Facilities, together with accrued interest.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Subsequent to March 31, 2026, MCO Nominee One drew down HK$2.88 billion (equivalent to US$367.9 million) in aggregate principal amount under the MN1 2020 Revolving Facilities. The drawn proceeds were advanced to an affiliated company of the Company, as borrower, and the Company, as lender, under a US$500.0 million intercompany revolving loan facility agreement dated May 28, 2026, with a term of five years.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Melco Resorts Finance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0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tc>
        <w:tc>
          <w:tcPr>
            <w:tcW w:w="5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5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364"/>
        </w:trPr>
        <w:tc>
          <w:tcPr>
            <w:tcW w:w="5000" w:type="dxa"/>
            <w:vAlign w:val="bottom"/>
          </w:tcPr>
          <w:p>
            <w:pPr>
              <w:spacing w:after="0"/>
              <w:rPr>
                <w:sz w:val="24"/>
                <w:szCs w:val="24"/>
                <w:color w:val="auto"/>
              </w:rPr>
            </w:pPr>
          </w:p>
        </w:tc>
        <w:tc>
          <w:tcPr>
            <w:tcW w:w="5960" w:type="dxa"/>
            <w:vAlign w:val="bottom"/>
            <w:gridSpan w:val="2"/>
          </w:tcPr>
          <w:p>
            <w:pPr>
              <w:jc w:val="right"/>
              <w:ind w:right="5250"/>
              <w:spacing w:after="0"/>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0960"/>
          </w:cols>
          <w:pgMar w:left="440" w:top="266" w:right="49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Melco Resorts Finance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500,484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493,097</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128,741</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114,977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363,224</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398,185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19,024</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17,748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32,504</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39,334</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1,043,977</w:t>
            </w:r>
          </w:p>
        </w:tc>
        <w:tc>
          <w:tcPr>
            <w:tcW w:w="2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1,959,293</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1,979,092</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144,885</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151,465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23,324</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23,490</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 net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55,772</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57,646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affiliated companies, non-current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2,332,645   </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2,375,298  </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124,163</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125,046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19,167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17,712</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185,415</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188,748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5,888,641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5,981,838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13,135</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16,802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770,223</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807,333</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2,108</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3,193</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180,636</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176,531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969,295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1,010,829</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4,658,179</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216,590</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247,153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2,706</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18,081</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5,865,601</w:t>
            </w:r>
          </w:p>
        </w:tc>
        <w:tc>
          <w:tcPr>
            <w:tcW w:w="2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6,002,183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par value $0.01; 5,000,000 shares authorized; 1,202 shares issued and outstanding</w:t>
            </w:r>
          </w:p>
        </w:tc>
        <w:tc>
          <w:tcPr>
            <w:tcW w:w="1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1,921,904</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1,919,229</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 income</w:t>
            </w: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(21,688)</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losses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(1,877,176)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(1,945,415)</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2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           5,888,641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5,981,838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Melco Resorts Finance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2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8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Operating revenues: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Casino</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1,039,038</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945,497</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Rooms</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47,756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44,643</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Food and beverage</w:t>
            </w: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30,143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32,043</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Entertainment, retail and other</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97,768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83,417</w:t>
            </w:r>
          </w:p>
        </w:tc>
      </w:tr>
      <w:tr>
        <w:trPr>
          <w:trHeight w:val="217"/>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1,214,705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1,105,600</w:t>
            </w:r>
          </w:p>
        </w:tc>
        <w:tc>
          <w:tcPr>
            <w:tcW w:w="12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Casino</w:t>
            </w:r>
          </w:p>
        </w:tc>
        <w:tc>
          <w:tcPr>
            <w:tcW w:w="80" w:type="dxa"/>
            <w:vAlign w:val="bottom"/>
          </w:tcPr>
          <w:p>
            <w:pPr>
              <w:spacing w:after="0"/>
              <w:rPr>
                <w:sz w:val="17"/>
                <w:szCs w:val="17"/>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w w:val="96"/>
              </w:rPr>
              <w:t>   (692,018)</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4"/>
              </w:rPr>
              <w:t>   (640,757)</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Rooms</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(18,355)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(15,969)</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Food and beverage</w:t>
            </w:r>
          </w:p>
        </w:tc>
        <w:tc>
          <w:tcPr>
            <w:tcW w:w="80" w:type="dxa"/>
            <w:vAlign w:val="bottom"/>
          </w:tcPr>
          <w:p>
            <w:pPr>
              <w:spacing w:after="0"/>
              <w:rPr>
                <w:sz w:val="17"/>
                <w:szCs w:val="17"/>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(27,119)</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(28,691)</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Entertainment, retail and other</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(13,383)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(5,827)</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0" w:type="dxa"/>
            <w:vAlign w:val="bottom"/>
          </w:tcPr>
          <w:p>
            <w:pPr>
              <w:spacing w:after="0"/>
              <w:rPr>
                <w:sz w:val="17"/>
                <w:szCs w:val="17"/>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(263,620)</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(235,825)</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Pre-opening costs</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(8,567)</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land use rights</w:t>
            </w:r>
          </w:p>
        </w:tc>
        <w:tc>
          <w:tcPr>
            <w:tcW w:w="80" w:type="dxa"/>
            <w:vAlign w:val="bottom"/>
          </w:tcPr>
          <w:p>
            <w:pPr>
              <w:spacing w:after="0"/>
              <w:rPr>
                <w:sz w:val="17"/>
                <w:szCs w:val="17"/>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(2,004)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(2,015)</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(66,504)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(56,920)</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80" w:type="dxa"/>
            <w:vAlign w:val="bottom"/>
          </w:tcPr>
          <w:p>
            <w:pPr>
              <w:spacing w:after="0"/>
              <w:rPr>
                <w:sz w:val="17"/>
                <w:szCs w:val="17"/>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(2,526)</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w:t>
            </w:r>
          </w:p>
        </w:tc>
      </w:tr>
      <w:tr>
        <w:trPr>
          <w:trHeight w:val="27"/>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(1,085,786)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(994,751)</w:t>
            </w:r>
          </w:p>
        </w:tc>
      </w:tr>
      <w:tr>
        <w:trPr>
          <w:trHeight w:val="217"/>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110,849</w:t>
            </w:r>
          </w:p>
        </w:tc>
        <w:tc>
          <w:tcPr>
            <w:tcW w:w="12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Non-operating income (expenses):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23,970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3,843</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(75,197)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(80,584)</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financing costs</w:t>
            </w:r>
          </w:p>
        </w:tc>
        <w:tc>
          <w:tcPr>
            <w:tcW w:w="80" w:type="dxa"/>
            <w:vAlign w:val="bottom"/>
          </w:tcPr>
          <w:p>
            <w:pPr>
              <w:spacing w:after="0"/>
              <w:rPr>
                <w:sz w:val="17"/>
                <w:szCs w:val="17"/>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(1,510)</w:t>
            </w:r>
          </w:p>
        </w:tc>
      </w:tr>
      <w:tr>
        <w:trPr>
          <w:trHeight w:val="203"/>
        </w:trPr>
        <w:tc>
          <w:tcPr>
            <w:tcW w:w="8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exchange (losses) gains, net</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(12,558)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1,894</w:t>
            </w:r>
          </w:p>
        </w:tc>
      </w:tr>
      <w:tr>
        <w:trPr>
          <w:trHeight w:val="203"/>
        </w:trPr>
        <w:tc>
          <w:tcPr>
            <w:tcW w:w="8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income, net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1,932</w:t>
            </w:r>
          </w:p>
        </w:tc>
      </w:tr>
      <w:tr>
        <w:trPr>
          <w:trHeight w:val="27"/>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non-operating expenses, net</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(58,617)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(74,425)</w:t>
            </w:r>
          </w:p>
        </w:tc>
      </w:tr>
      <w:tr>
        <w:trPr>
          <w:trHeight w:val="210"/>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w:t>
            </w: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36,424</w:t>
            </w:r>
          </w:p>
        </w:tc>
        <w:tc>
          <w:tcPr>
            <w:tcW w:w="12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(2,063)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(1,886)</w:t>
            </w:r>
          </w:p>
        </w:tc>
      </w:tr>
      <w:tr>
        <w:trPr>
          <w:trHeight w:val="210"/>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68,239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34,538</w:t>
            </w:r>
          </w:p>
        </w:tc>
        <w:tc>
          <w:tcPr>
            <w:tcW w:w="12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66" w:right="4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Melco Resorts Finance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33"/>
        </w:trPr>
        <w:tc>
          <w:tcPr>
            <w:tcW w:w="8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5"/>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8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83"/>
        </w:trPr>
        <w:tc>
          <w:tcPr>
            <w:tcW w:w="8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118,869</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70,387</w:t>
            </w: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(62,885)</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(37,010)</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Payments of loans or advances to an affiliated company</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 of intangible and other assets</w:t>
            </w: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(1,103)</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(4,790)</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loans or advances repayment from an affiliated company</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26,569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r>
      <w:tr>
        <w:trPr>
          <w:trHeight w:val="27"/>
        </w:trPr>
        <w:tc>
          <w:tcPr>
            <w:tcW w:w="8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(38,919)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(41,795)</w:t>
            </w:r>
          </w:p>
        </w:tc>
      </w:tr>
      <w:tr>
        <w:trPr>
          <w:trHeight w:val="208"/>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(59,756)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Payments of intangible asset liabilities</w:t>
            </w: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(9,327)</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(3,852)</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Payments of financing costs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(69,083)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(4,363)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(1,147)</w:t>
            </w: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23,343</w:t>
            </w: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618,143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618,183</w:t>
            </w: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624,647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641,526</w:t>
            </w:r>
          </w:p>
        </w:tc>
        <w:tc>
          <w:tcPr>
            <w:tcW w:w="12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cash flow disclosures: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(86,659)</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(54,013)</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income taxes, net of refund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(7,806)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(7,017)</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 - operating cash flows from operating leases</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(741)</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(1,577)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disclosures: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operating lease liabilities arising from obtaining operating lease right-of-use assets and lease modifications</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2,247</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accrued expenses and other current liabilities related to acquisition of property and equipment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12,548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14,923</w:t>
            </w:r>
          </w:p>
        </w:tc>
      </w:tr>
      <w:tr>
        <w:trPr>
          <w:trHeight w:val="222"/>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Capitalization of interest receivable as loan to an affiliated company</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(4,732)</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39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to the condensed consolidated balance sheets: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5"/>
        </w:trPr>
        <w:tc>
          <w:tcPr>
            <w:tcW w:w="8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8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r>
      <w:tr>
        <w:trPr>
          <w:trHeight w:val="19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500,484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493,097</w:t>
            </w: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Non-current portion of restricted cash</w:t>
            </w: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124,163</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125,046</w:t>
            </w:r>
          </w:p>
        </w:tc>
      </w:tr>
      <w:tr>
        <w:trPr>
          <w:trHeight w:val="27"/>
        </w:trPr>
        <w:tc>
          <w:tcPr>
            <w:tcW w:w="8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624,647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618,143</w:t>
            </w:r>
          </w:p>
        </w:tc>
      </w:tr>
      <w:tr>
        <w:trPr>
          <w:trHeight w:val="20"/>
        </w:trPr>
        <w:tc>
          <w:tcPr>
            <w:tcW w:w="8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2026-05-29T05:56:02Z</dcterms:created>
  <dcterms:modified xsi:type="dcterms:W3CDTF">2026-05-29T05:56:02Z</dcterms:modified>
</cp:coreProperties>
</file>