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27336d6k.htm"/>
        <w:bookmarkStart w:id="1" w:name="ksd427336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001-33178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MELCO RESORTS &amp; ENTERTAINMENT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Singapore 068895</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tx427336_1">
              <w:r>
                <w:rPr>
                  <w:rStyle w:val="InternetLink"/>
                  <w:rFonts w:ascii="Times New Roman" w:hAnsi="Times New Roman"/>
                  <w:sz w:val="20"/>
                </w:rPr>
                <w:t xml:space="preserve">Signature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9815" w:type="dxa"/>
            <w:tcBorders/>
            <w:vAlign w:val="center"/>
          </w:tcPr>
          <w:p>
            <w:pPr>
              <w:pStyle w:val="TableContents"/>
              <w:bidi w:val="0"/>
              <w:spacing w:before="0" w:after="283"/>
              <w:jc w:val="left"/>
              <w:rPr>
                <w:sz w:val="4"/>
                <w:szCs w:val="4"/>
              </w:rPr>
            </w:pPr>
            <w:r>
              <w:rPr>
                <w:sz w:val="4"/>
                <w:szCs w:val="4"/>
              </w:rPr>
            </w:r>
          </w:p>
        </w:tc>
        <w:tc>
          <w:tcPr>
            <w:tcW w:w="390" w:type="dxa"/>
            <w:gridSpan w:val="4"/>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d427336dex991.htm">
              <w:r>
                <w:rPr>
                  <w:rStyle w:val="InternetLink"/>
                  <w:rFonts w:ascii="Times New Roman" w:hAnsi="Times New Roman"/>
                  <w:sz w:val="20"/>
                </w:rPr>
                <w:t xml:space="preserve">Exhibit 99.1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Explanatory Note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Melco Resorts Finance Limited, a subsidiary of Melco Resorts &amp; Entertainment Limited, issued a notice of redemption dated August 24, 2026, a copy of which is appended to this Form 6-K, in relation to the redemption of its US$600,000,000 5.625% Senior Notes due 2027. </w:t>
      </w:r>
    </w:p>
    <w:p>
      <w:pPr>
        <w:pStyle w:val="TextBody"/>
        <w:bidi w:val="0"/>
        <w:spacing w:before="360" w:after="0"/>
        <w:jc w:val="left"/>
        <w:rPr>
          <w:rFonts w:ascii="Times New Roman" w:hAnsi="Times New Roman"/>
          <w:sz w:val="20"/>
        </w:rPr>
      </w:pPr>
      <w:r>
        <w:rPr>
          <w:rFonts w:ascii="Times New Roman" w:hAnsi="Times New Roman"/>
          <w:b/>
          <w:sz w:val="20"/>
        </w:rPr>
        <w:t>Safe Harbor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These statements are made under the “safe harbor” provisions of the U.S. Private Securities Litigation Reform Act of 1995. Melco Resorts &amp; Entertainment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the Philippines, the Republic of Cyprus and Sri Lanka,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report is as of the date of this report, and the Company undertakes no duty to update such information, except as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427336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21"/>
        <w:gridCol w:w="143"/>
        <w:gridCol w:w="2518"/>
      </w:tblGrid>
      <w:tr>
        <w:trPr/>
        <w:tc>
          <w:tcPr>
            <w:tcW w:w="142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MELCO RESORTS &amp; ENTERTAINMENT LIMITED</w:t>
            </w:r>
          </w:p>
        </w:tc>
      </w:tr>
      <w:tr>
        <w:trPr>
          <w:trHeight w:val="240" w:hRule="atLeast"/>
        </w:trPr>
        <w:tc>
          <w:tcPr>
            <w:tcW w:w="1421" w:type="dxa"/>
            <w:tcBorders/>
            <w:vAlign w:val="center"/>
          </w:tcPr>
          <w:p>
            <w:pPr>
              <w:pStyle w:val="TableContents"/>
              <w:bidi w:val="0"/>
              <w:spacing w:before="0" w:after="283"/>
              <w:jc w:val="left"/>
              <w:rPr>
                <w:sz w:val="4"/>
                <w:szCs w:val="4"/>
              </w:rPr>
            </w:pPr>
            <w:r>
              <w:rPr>
                <w:sz w:val="4"/>
                <w:szCs w:val="4"/>
              </w:rPr>
            </w:r>
          </w:p>
        </w:tc>
        <w:tc>
          <w:tcPr>
            <w:tcW w:w="2661" w:type="dxa"/>
            <w:gridSpan w:val="2"/>
            <w:tcBorders/>
            <w:vAlign w:val="center"/>
          </w:tcPr>
          <w:p>
            <w:pPr>
              <w:pStyle w:val="TableContents"/>
              <w:bidi w:val="0"/>
              <w:spacing w:before="0" w:after="283"/>
              <w:jc w:val="left"/>
              <w:rPr>
                <w:sz w:val="4"/>
                <w:szCs w:val="4"/>
              </w:rPr>
            </w:pPr>
            <w:r>
              <w:rPr>
                <w:sz w:val="4"/>
                <w:szCs w:val="4"/>
              </w:rPr>
            </w:r>
          </w:p>
        </w:tc>
      </w:tr>
      <w:tr>
        <w:trPr/>
        <w:tc>
          <w:tcPr>
            <w:tcW w:w="1421" w:type="dxa"/>
            <w:tcBorders/>
          </w:tcPr>
          <w:p>
            <w:pPr>
              <w:pStyle w:val="TableContents"/>
              <w:bidi w:val="0"/>
              <w:spacing w:before="0" w:after="283"/>
              <w:jc w:val="left"/>
              <w:rPr/>
            </w:pPr>
            <w:r>
              <w:rPr/>
              <w:t>By:</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Davis</w:t>
            </w:r>
          </w:p>
        </w:tc>
      </w:tr>
      <w:tr>
        <w:trPr/>
        <w:tc>
          <w:tcPr>
            <w:tcW w:w="1421" w:type="dxa"/>
            <w:tcBorders/>
          </w:tcPr>
          <w:p>
            <w:pPr>
              <w:pStyle w:val="TableContents"/>
              <w:bidi w:val="0"/>
              <w:spacing w:before="0" w:after="283"/>
              <w:jc w:val="left"/>
              <w:rPr/>
            </w:pPr>
            <w:r>
              <w:rPr/>
              <w:t>Name:</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bidi w:val="0"/>
              <w:spacing w:before="0" w:after="283"/>
              <w:jc w:val="left"/>
              <w:rPr/>
            </w:pPr>
            <w:r>
              <w:rPr/>
              <w:t>Geoffrey Davis, CFA</w:t>
            </w:r>
          </w:p>
        </w:tc>
      </w:tr>
      <w:tr>
        <w:trPr/>
        <w:tc>
          <w:tcPr>
            <w:tcW w:w="1421" w:type="dxa"/>
            <w:tcBorders/>
          </w:tcPr>
          <w:p>
            <w:pPr>
              <w:pStyle w:val="TableContents"/>
              <w:bidi w:val="0"/>
              <w:spacing w:before="0" w:after="283"/>
              <w:jc w:val="left"/>
              <w:rPr/>
            </w:pPr>
            <w:r>
              <w:rPr/>
              <w:t>Title:</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24"/>
        <w:gridCol w:w="320"/>
        <w:gridCol w:w="8661"/>
      </w:tblGrid>
      <w:tr>
        <w:trPr/>
        <w:tc>
          <w:tcPr>
            <w:tcW w:w="1224"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661" w:type="dxa"/>
            <w:tcBorders/>
            <w:vAlign w:val="center"/>
          </w:tcPr>
          <w:p>
            <w:pPr>
              <w:pStyle w:val="TableContents"/>
              <w:bidi w:val="0"/>
              <w:spacing w:before="0" w:after="283"/>
              <w:jc w:val="left"/>
              <w:rPr>
                <w:sz w:val="4"/>
                <w:szCs w:val="4"/>
              </w:rPr>
            </w:pPr>
            <w:r>
              <w:rPr>
                <w:sz w:val="4"/>
                <w:szCs w:val="4"/>
              </w:rPr>
            </w:r>
          </w:p>
        </w:tc>
      </w:tr>
      <w:tr>
        <w:trPr/>
        <w:tc>
          <w:tcPr>
            <w:tcW w:w="12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20" w:type="dxa"/>
            <w:tcBorders/>
            <w:vAlign w:val="bottom"/>
          </w:tcPr>
          <w:p>
            <w:pPr>
              <w:pStyle w:val="TableContents"/>
              <w:bidi w:val="0"/>
              <w:spacing w:before="0" w:after="283"/>
              <w:jc w:val="left"/>
              <w:rPr/>
            </w:pPr>
            <w:r>
              <w:rPr/>
              <w:t>  </w:t>
            </w:r>
          </w:p>
        </w:tc>
        <w:tc>
          <w:tcPr>
            <w:tcW w:w="86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24" w:type="dxa"/>
            <w:tcBorders/>
            <w:vAlign w:val="center"/>
          </w:tcPr>
          <w:p>
            <w:pPr>
              <w:pStyle w:val="TableContents"/>
              <w:bidi w:val="0"/>
              <w:spacing w:before="0" w:after="283"/>
              <w:jc w:val="left"/>
              <w:rPr>
                <w:sz w:val="4"/>
                <w:szCs w:val="4"/>
              </w:rPr>
            </w:pPr>
            <w:r>
              <w:rPr>
                <w:sz w:val="4"/>
                <w:szCs w:val="4"/>
              </w:rPr>
            </w:r>
          </w:p>
        </w:tc>
        <w:tc>
          <w:tcPr>
            <w:tcW w:w="8981" w:type="dxa"/>
            <w:gridSpan w:val="2"/>
            <w:tcBorders/>
            <w:vAlign w:val="center"/>
          </w:tcPr>
          <w:p>
            <w:pPr>
              <w:pStyle w:val="TableContents"/>
              <w:bidi w:val="0"/>
              <w:spacing w:before="0" w:after="283"/>
              <w:jc w:val="left"/>
              <w:rPr>
                <w:sz w:val="4"/>
                <w:szCs w:val="4"/>
              </w:rPr>
            </w:pPr>
            <w:r>
              <w:rPr>
                <w:sz w:val="4"/>
                <w:szCs w:val="4"/>
              </w:rPr>
            </w:r>
          </w:p>
        </w:tc>
      </w:tr>
      <w:tr>
        <w:trPr/>
        <w:tc>
          <w:tcPr>
            <w:tcW w:w="1224" w:type="dxa"/>
            <w:tcBorders/>
          </w:tcPr>
          <w:p>
            <w:pPr>
              <w:pStyle w:val="TableContents"/>
              <w:bidi w:val="0"/>
              <w:spacing w:before="0" w:after="283"/>
              <w:jc w:val="left"/>
              <w:rPr/>
            </w:pPr>
            <w:r>
              <w:rPr/>
              <w:t>Exhibit 99.1</w:t>
            </w:r>
          </w:p>
        </w:tc>
        <w:tc>
          <w:tcPr>
            <w:tcW w:w="320" w:type="dxa"/>
            <w:tcBorders/>
            <w:vAlign w:val="bottom"/>
          </w:tcPr>
          <w:p>
            <w:pPr>
              <w:pStyle w:val="TableContents"/>
              <w:bidi w:val="0"/>
              <w:spacing w:before="0" w:after="283"/>
              <w:jc w:val="left"/>
              <w:rPr/>
            </w:pPr>
            <w:r>
              <w:rPr/>
              <w:t>  </w:t>
            </w:r>
          </w:p>
        </w:tc>
        <w:tc>
          <w:tcPr>
            <w:tcW w:w="8661" w:type="dxa"/>
            <w:tcBorders/>
          </w:tcPr>
          <w:p>
            <w:pPr>
              <w:pStyle w:val="TableContents"/>
              <w:bidi w:val="0"/>
              <w:spacing w:before="0" w:after="283"/>
              <w:jc w:val="left"/>
              <w:rPr/>
            </w:pPr>
            <w:r>
              <w:rPr/>
              <w:t>Melco Resorts Finance Limited Notice of Redemption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right"/>
        <w:rPr>
          <w:rFonts w:ascii="Times New Roman" w:hAnsi="Times New Roman"/>
          <w:b/>
          <w:sz w:val="20"/>
        </w:rPr>
      </w:pPr>
      <w:bookmarkStart w:id="4" w:name="d427336dex991.htm"/>
      <w:bookmarkStart w:id="5" w:name="ksd427336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REDEMPTION </w:t>
      </w:r>
    </w:p>
    <w:p>
      <w:pPr>
        <w:pStyle w:val="TextBody"/>
        <w:bidi w:val="0"/>
        <w:spacing w:before="240" w:after="0"/>
        <w:jc w:val="center"/>
        <w:rPr>
          <w:rFonts w:ascii="Times New Roman" w:hAnsi="Times New Roman"/>
          <w:b/>
          <w:sz w:val="20"/>
        </w:rPr>
      </w:pPr>
      <w:r>
        <w:rPr>
          <w:rFonts w:ascii="Times New Roman" w:hAnsi="Times New Roman"/>
          <w:b/>
          <w:sz w:val="20"/>
        </w:rPr>
        <w:t xml:space="preserve">To the Holders of </w:t>
      </w:r>
    </w:p>
    <w:p>
      <w:pPr>
        <w:pStyle w:val="TextBody"/>
        <w:bidi w:val="0"/>
        <w:spacing w:before="240" w:after="0"/>
        <w:jc w:val="center"/>
        <w:rPr>
          <w:rFonts w:ascii="Times New Roman" w:hAnsi="Times New Roman"/>
          <w:b/>
          <w:sz w:val="20"/>
        </w:rPr>
      </w:pPr>
      <w:r>
        <w:rPr>
          <w:rFonts w:ascii="Times New Roman" w:hAnsi="Times New Roman"/>
          <w:b/>
          <w:sz w:val="20"/>
        </w:rPr>
        <w:t xml:space="preserve">Melco Resorts Finance Limited’s 5.625% Senior Notes due 2027 (the “Notes”)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ISIN Nos. / CUSIP Nos.: </w:t>
      </w:r>
    </w:p>
    <w:p>
      <w:pPr>
        <w:pStyle w:val="TextBody"/>
        <w:bidi w:val="0"/>
        <w:spacing w:before="240" w:after="0"/>
        <w:jc w:val="center"/>
        <w:rPr>
          <w:rFonts w:ascii="Times New Roman" w:hAnsi="Times New Roman"/>
          <w:b/>
          <w:sz w:val="20"/>
        </w:rPr>
      </w:pPr>
      <w:r>
        <w:rPr>
          <w:rFonts w:ascii="Times New Roman" w:hAnsi="Times New Roman"/>
          <w:b/>
          <w:sz w:val="20"/>
        </w:rPr>
        <w:t xml:space="preserve">Regulation S Notes: ISIN USG5975LAD85, CUSIP G5975L AD8 </w:t>
      </w:r>
    </w:p>
    <w:p>
      <w:pPr>
        <w:pStyle w:val="TextBody"/>
        <w:bidi w:val="0"/>
        <w:spacing w:before="240" w:after="0"/>
        <w:jc w:val="center"/>
        <w:rPr>
          <w:rFonts w:ascii="Times New Roman" w:hAnsi="Times New Roman"/>
          <w:b/>
          <w:sz w:val="20"/>
        </w:rPr>
      </w:pPr>
      <w:r>
        <w:rPr>
          <w:rFonts w:ascii="Times New Roman" w:hAnsi="Times New Roman"/>
          <w:b/>
          <w:sz w:val="20"/>
        </w:rPr>
        <w:t xml:space="preserve">Rule 144A Notes: ISIN US58547DAC39, CUSIP 58547D AC3 </w:t>
      </w:r>
    </w:p>
    <w:p>
      <w:pPr>
        <w:pStyle w:val="TextBody"/>
        <w:bidi w:val="0"/>
        <w:spacing w:before="240" w:after="0"/>
        <w:jc w:val="left"/>
        <w:rPr>
          <w:rFonts w:ascii="Times New Roman" w:hAnsi="Times New Roman"/>
          <w:sz w:val="20"/>
        </w:rPr>
      </w:pPr>
      <w:r>
        <w:rPr>
          <w:rFonts w:ascii="Times New Roman" w:hAnsi="Times New Roman"/>
          <w:sz w:val="20"/>
        </w:rPr>
        <w:t>NOTICE IS HEREBY GIVEN that, pursuant to Sections 3.03 and 3.07(d) of the indenture dated as of July 17, 2019, (as amended and supplemented from time to time, the “</w:t>
      </w:r>
      <w:r>
        <w:rPr>
          <w:rFonts w:ascii="Times New Roman" w:hAnsi="Times New Roman"/>
          <w:b/>
          <w:sz w:val="20"/>
        </w:rPr>
        <w:t>Indenture</w:t>
      </w:r>
      <w:r>
        <w:rPr>
          <w:rFonts w:ascii="Times New Roman" w:hAnsi="Times New Roman"/>
          <w:sz w:val="20"/>
        </w:rPr>
        <w:t xml:space="preserve">”) among, </w:t>
      </w:r>
      <w:r>
        <w:rPr>
          <w:rFonts w:ascii="Times New Roman" w:hAnsi="Times New Roman"/>
          <w:i/>
          <w:sz w:val="20"/>
        </w:rPr>
        <w:t>inter alios</w:t>
      </w:r>
      <w:r>
        <w:rPr>
          <w:rFonts w:ascii="Times New Roman" w:hAnsi="Times New Roman"/>
          <w:sz w:val="20"/>
        </w:rPr>
        <w:t>, Melco Resorts Finance Limited, as issuer (the “</w:t>
      </w:r>
      <w:r>
        <w:rPr>
          <w:rFonts w:ascii="Times New Roman" w:hAnsi="Times New Roman"/>
          <w:b/>
          <w:sz w:val="20"/>
        </w:rPr>
        <w:t>Issuer</w:t>
      </w:r>
      <w:r>
        <w:rPr>
          <w:rFonts w:ascii="Times New Roman" w:hAnsi="Times New Roman"/>
          <w:sz w:val="20"/>
        </w:rPr>
        <w:t>”) and Deutsche Bank Trust Company Americas as trustee, paying agent, registrar and transfer agent (the “</w:t>
      </w:r>
      <w:r>
        <w:rPr>
          <w:rFonts w:ascii="Times New Roman" w:hAnsi="Times New Roman"/>
          <w:b/>
          <w:sz w:val="20"/>
        </w:rPr>
        <w:t>Trustee</w:t>
      </w:r>
      <w:r>
        <w:rPr>
          <w:rFonts w:ascii="Times New Roman" w:hAnsi="Times New Roman"/>
          <w:sz w:val="20"/>
        </w:rPr>
        <w:t>”), and paragraph 5(a) of each of the Notes issued thereunder, the Issuer has elected to redeem and will redeem (the “</w:t>
      </w:r>
      <w:r>
        <w:rPr>
          <w:rFonts w:ascii="Times New Roman" w:hAnsi="Times New Roman"/>
          <w:b/>
          <w:sz w:val="20"/>
        </w:rPr>
        <w:t>Redemption</w:t>
      </w:r>
      <w:r>
        <w:rPr>
          <w:rFonts w:ascii="Times New Roman" w:hAnsi="Times New Roman"/>
          <w:sz w:val="20"/>
        </w:rPr>
        <w:t xml:space="preserve">”), all of the Notes outstanding on the Redemption Date (as defined below) at the redemption price of 100.000% of the principal amount of the Notes to be redeemed </w:t>
      </w:r>
      <w:r>
        <w:rPr>
          <w:rFonts w:ascii="Times New Roman" w:hAnsi="Times New Roman"/>
          <w:i/>
          <w:sz w:val="20"/>
        </w:rPr>
        <w:t>plus</w:t>
      </w:r>
      <w:r>
        <w:rPr>
          <w:rFonts w:ascii="Times New Roman" w:hAnsi="Times New Roman"/>
          <w:sz w:val="20"/>
        </w:rPr>
        <w:t xml:space="preserve"> accrued and unpaid interest and Additional Amounts, if any, to the Redemption Date (the “</w:t>
      </w:r>
      <w:r>
        <w:rPr>
          <w:rFonts w:ascii="Times New Roman" w:hAnsi="Times New Roman"/>
          <w:b/>
          <w:sz w:val="20"/>
        </w:rPr>
        <w:t>Redemption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date fixed for redemption is September 23, 2026 (the “</w:t>
      </w:r>
      <w:r>
        <w:rPr>
          <w:rFonts w:ascii="Times New Roman" w:hAnsi="Times New Roman"/>
          <w:b/>
          <w:sz w:val="20"/>
        </w:rPr>
        <w:t>Redemption Date</w:t>
      </w:r>
      <w:r>
        <w:rPr>
          <w:rFonts w:ascii="Times New Roman" w:hAnsi="Times New Roman"/>
          <w:sz w:val="20"/>
        </w:rPr>
        <w:t xml:space="preserve">”). Unless the Issuer defaults in paying the Redemption Price, interest on the Notes will cease to accrue on and after the Redemption Date, and the only remaining right of the holders of the Notes after the Redemption Date shall be the right to receive payment of the Redemption Price upon surrender to the Paying Agent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redeemed Notes must be surrendered to the Paying Agent to collect the Redemption Price at the following address: </w:t>
      </w:r>
    </w:p>
    <w:p>
      <w:pPr>
        <w:pStyle w:val="TextBody"/>
        <w:bidi w:val="0"/>
        <w:spacing w:before="240" w:after="0"/>
        <w:jc w:val="left"/>
        <w:rPr>
          <w:rFonts w:ascii="Times New Roman" w:hAnsi="Times New Roman"/>
          <w:sz w:val="20"/>
        </w:rPr>
      </w:pPr>
      <w:r>
        <w:rPr>
          <w:rFonts w:ascii="Times New Roman" w:hAnsi="Times New Roman"/>
          <w:sz w:val="20"/>
        </w:rPr>
        <w:t xml:space="preserve">Deutsche Bank Trust Company Americas </w:t>
      </w:r>
    </w:p>
    <w:p>
      <w:pPr>
        <w:pStyle w:val="TextBody"/>
        <w:bidi w:val="0"/>
        <w:spacing w:before="0" w:after="0"/>
        <w:jc w:val="left"/>
        <w:rPr>
          <w:rFonts w:ascii="Times New Roman" w:hAnsi="Times New Roman"/>
          <w:sz w:val="20"/>
        </w:rPr>
      </w:pPr>
      <w:r>
        <w:rPr>
          <w:rFonts w:ascii="Times New Roman" w:hAnsi="Times New Roman"/>
          <w:sz w:val="20"/>
        </w:rPr>
        <w:t xml:space="preserve">c/o DB Services Americas, Inc. </w:t>
      </w:r>
    </w:p>
    <w:p>
      <w:pPr>
        <w:pStyle w:val="TextBody"/>
        <w:bidi w:val="0"/>
        <w:spacing w:before="0" w:after="0"/>
        <w:jc w:val="left"/>
        <w:rPr>
          <w:rFonts w:ascii="Times New Roman" w:hAnsi="Times New Roman"/>
          <w:sz w:val="20"/>
        </w:rPr>
      </w:pPr>
      <w:r>
        <w:rPr>
          <w:rFonts w:ascii="Times New Roman" w:hAnsi="Times New Roman"/>
          <w:sz w:val="20"/>
        </w:rPr>
        <w:t xml:space="preserve">5201 Gate Parkway, 1st Floor </w:t>
      </w:r>
    </w:p>
    <w:p>
      <w:pPr>
        <w:pStyle w:val="TextBody"/>
        <w:bidi w:val="0"/>
        <w:spacing w:before="0" w:after="0"/>
        <w:jc w:val="left"/>
        <w:rPr>
          <w:rFonts w:ascii="Times New Roman" w:hAnsi="Times New Roman"/>
          <w:sz w:val="20"/>
        </w:rPr>
      </w:pPr>
      <w:r>
        <w:rPr>
          <w:rFonts w:ascii="Times New Roman" w:hAnsi="Times New Roman"/>
          <w:sz w:val="20"/>
        </w:rPr>
        <w:t xml:space="preserve">Mail Stop JCK-01-218 </w:t>
      </w:r>
    </w:p>
    <w:p>
      <w:pPr>
        <w:pStyle w:val="TextBody"/>
        <w:bidi w:val="0"/>
        <w:spacing w:before="0" w:after="0"/>
        <w:jc w:val="left"/>
        <w:rPr>
          <w:rFonts w:ascii="Times New Roman" w:hAnsi="Times New Roman"/>
          <w:sz w:val="20"/>
        </w:rPr>
      </w:pPr>
      <w:r>
        <w:rPr>
          <w:rFonts w:ascii="Times New Roman" w:hAnsi="Times New Roman"/>
          <w:sz w:val="20"/>
        </w:rPr>
        <w:t xml:space="preserve">Jacksonville, FL 32256 USA </w:t>
      </w:r>
    </w:p>
    <w:p>
      <w:pPr>
        <w:pStyle w:val="TextBody"/>
        <w:bidi w:val="0"/>
        <w:spacing w:before="0" w:after="0"/>
        <w:jc w:val="left"/>
        <w:rPr>
          <w:rFonts w:ascii="Times New Roman" w:hAnsi="Times New Roman"/>
          <w:sz w:val="20"/>
        </w:rPr>
      </w:pPr>
      <w:r>
        <w:rPr>
          <w:rFonts w:ascii="Times New Roman" w:hAnsi="Times New Roman"/>
          <w:sz w:val="20"/>
        </w:rPr>
        <w:t xml:space="preserve">Attn: Transfer Department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and not otherwise defined in this notice have the meanings ascribed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By: Melco Resorts Finance Limited, as Issuer </w:t>
      </w:r>
    </w:p>
    <w:p>
      <w:pPr>
        <w:pStyle w:val="TextBody"/>
        <w:bidi w:val="0"/>
        <w:spacing w:before="0" w:after="0"/>
        <w:jc w:val="left"/>
        <w:rPr>
          <w:rFonts w:ascii="Times New Roman" w:hAnsi="Times New Roman"/>
          <w:sz w:val="20"/>
        </w:rPr>
      </w:pPr>
      <w:r>
        <w:rPr>
          <w:rFonts w:ascii="Times New Roman" w:hAnsi="Times New Roman"/>
          <w:sz w:val="20"/>
        </w:rPr>
        <w:t xml:space="preserve">Dated: August 24, 2026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ISIN numbers and CUSIP numbers are included solely for the convenience of the holders of the Notes. None of the Trustee, the Paying Agent or the Issuer shall be responsible for the selection or use of any ISIN numbers and CUSIP numbers, nor is any representation made as to its correctness or accuracy in this Notice of Redemption or on any Note. Each Holder may be subject, under certain circumstances, to backup withholding tax with respect to payment of the Redemption Price. Such backup withholding may be applicable if such Holder, among other things, fails to (i) furnish its correct taxpayer identification number, (ii) certify under penalties of perjury that it is not currently subject to backup withholding or (iii) otherwise comply with applicable backup withholding requirements. A Holder that wishes to avoid the imposition of a backup withholding tax should submit an Internal Revenue Service Form W-9 or W-8, as applicable, to the Paying Agent.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990</Words>
  <Characters>5348</Characters>
  <CharactersWithSpaces>6354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Melco Resorts Finance Limited Notice of Redemption</dc:title>
</cp:coreProperties>
</file>