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70033d6k.htm"/>
        <w:bookmarkStart w:id="1" w:name="ksd370033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001-33178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MELCO RESORTS &amp; ENTERTAINMENT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6"/>
        <w:gridCol w:w="331"/>
        <w:gridCol w:w="8608"/>
      </w:tblGrid>
      <w:tr>
        <w:trPr/>
        <w:tc>
          <w:tcPr>
            <w:tcW w:w="1266"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8608" w:type="dxa"/>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283"/>
              <w:jc w:val="left"/>
              <w:rPr/>
            </w:pPr>
            <w:hyperlink w:anchor="tx370033_1">
              <w:r>
                <w:rPr>
                  <w:rStyle w:val="InternetLink"/>
                </w:rPr>
                <w:t xml:space="preserve">Signature </w:t>
              </w:r>
            </w:hyperlink>
          </w:p>
        </w:tc>
        <w:tc>
          <w:tcPr>
            <w:tcW w:w="331" w:type="dxa"/>
            <w:tcBorders/>
            <w:vAlign w:val="bottom"/>
          </w:tcPr>
          <w:p>
            <w:pPr>
              <w:pStyle w:val="TableContents"/>
              <w:bidi w:val="0"/>
              <w:spacing w:before="0" w:after="283"/>
              <w:jc w:val="left"/>
              <w:rPr/>
            </w:pPr>
            <w:r>
              <w:rPr/>
              <w:t>  </w:t>
            </w:r>
          </w:p>
        </w:tc>
        <w:tc>
          <w:tcPr>
            <w:tcW w:w="8608" w:type="dxa"/>
            <w:tcBorders/>
          </w:tcPr>
          <w:p>
            <w:pPr>
              <w:pStyle w:val="TableContents"/>
              <w:bidi w:val="0"/>
              <w:spacing w:before="0" w:after="283"/>
              <w:jc w:val="right"/>
              <w:rPr/>
            </w:pPr>
            <w:r>
              <w:rPr/>
              <w:t>3</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939" w:type="dxa"/>
            <w:gridSpan w:val="2"/>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283"/>
              <w:jc w:val="left"/>
              <w:rPr/>
            </w:pPr>
            <w:hyperlink w:anchor="d370033dex991.htm">
              <w:r>
                <w:rPr>
                  <w:rStyle w:val="InternetLink"/>
                </w:rPr>
                <w:t>Exhibit 99.1</w:t>
              </w:r>
            </w:hyperlink>
          </w:p>
        </w:tc>
        <w:tc>
          <w:tcPr>
            <w:tcW w:w="331" w:type="dxa"/>
            <w:tcBorders/>
            <w:vAlign w:val="bottom"/>
          </w:tcPr>
          <w:p>
            <w:pPr>
              <w:pStyle w:val="TableContents"/>
              <w:bidi w:val="0"/>
              <w:spacing w:before="0" w:after="283"/>
              <w:jc w:val="left"/>
              <w:rPr/>
            </w:pPr>
            <w:r>
              <w:rPr/>
              <w:t>  </w:t>
            </w:r>
          </w:p>
        </w:tc>
        <w:tc>
          <w:tcPr>
            <w:tcW w:w="860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370033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21"/>
        <w:gridCol w:w="143"/>
        <w:gridCol w:w="2518"/>
      </w:tblGrid>
      <w:tr>
        <w:trPr/>
        <w:tc>
          <w:tcPr>
            <w:tcW w:w="14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MELCO RESORTS &amp; ENTERTAINMENT</w:t>
            </w:r>
          </w:p>
        </w:tc>
      </w:tr>
      <w:tr>
        <w:trPr/>
        <w:tc>
          <w:tcPr>
            <w:tcW w:w="4082" w:type="dxa"/>
            <w:gridSpan w:val="3"/>
            <w:tcBorders/>
          </w:tcPr>
          <w:p>
            <w:pPr>
              <w:pStyle w:val="TableContents"/>
              <w:bidi w:val="0"/>
              <w:spacing w:before="0" w:after="283"/>
              <w:jc w:val="left"/>
              <w:rPr>
                <w:b/>
              </w:rPr>
            </w:pPr>
            <w:r>
              <w:rPr>
                <w:b/>
              </w:rPr>
              <w:t>LIMITED</w:t>
            </w:r>
          </w:p>
        </w:tc>
      </w:tr>
      <w:tr>
        <w:trPr>
          <w:trHeight w:val="240" w:hRule="atLeast"/>
        </w:trPr>
        <w:tc>
          <w:tcPr>
            <w:tcW w:w="1421" w:type="dxa"/>
            <w:tcBorders/>
            <w:vAlign w:val="center"/>
          </w:tcPr>
          <w:p>
            <w:pPr>
              <w:pStyle w:val="TableContents"/>
              <w:bidi w:val="0"/>
              <w:spacing w:before="0" w:after="283"/>
              <w:jc w:val="left"/>
              <w:rPr>
                <w:sz w:val="4"/>
                <w:szCs w:val="4"/>
              </w:rPr>
            </w:pPr>
            <w:r>
              <w:rPr>
                <w:sz w:val="4"/>
                <w:szCs w:val="4"/>
              </w:rPr>
            </w:r>
          </w:p>
        </w:tc>
        <w:tc>
          <w:tcPr>
            <w:tcW w:w="2661" w:type="dxa"/>
            <w:gridSpan w:val="2"/>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Davis</w:t>
            </w:r>
          </w:p>
        </w:tc>
      </w:tr>
      <w:tr>
        <w:trPr/>
        <w:tc>
          <w:tcPr>
            <w:tcW w:w="1421" w:type="dxa"/>
            <w:tcBorders/>
          </w:tcPr>
          <w:p>
            <w:pPr>
              <w:pStyle w:val="TableContents"/>
              <w:bidi w:val="0"/>
              <w:spacing w:before="0" w:after="283"/>
              <w:jc w:val="left"/>
              <w:rPr/>
            </w:pPr>
            <w:r>
              <w:rPr/>
              <w:t>Name: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Geoffrey Davis, CFA</w:t>
            </w:r>
          </w:p>
        </w:tc>
      </w:tr>
      <w:tr>
        <w:trPr/>
        <w:tc>
          <w:tcPr>
            <w:tcW w:w="1421" w:type="dxa"/>
            <w:tcBorders/>
          </w:tcPr>
          <w:p>
            <w:pPr>
              <w:pStyle w:val="TableContents"/>
              <w:bidi w:val="0"/>
              <w:spacing w:before="0" w:after="283"/>
              <w:jc w:val="left"/>
              <w:rPr/>
            </w:pPr>
            <w:r>
              <w:rPr/>
              <w:t>Title: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7,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0"/>
        <w:gridCol w:w="321"/>
        <w:gridCol w:w="8674"/>
      </w:tblGrid>
      <w:tr>
        <w:trPr/>
        <w:tc>
          <w:tcPr>
            <w:tcW w:w="121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74" w:type="dxa"/>
            <w:tcBorders/>
            <w:vAlign w:val="center"/>
          </w:tcPr>
          <w:p>
            <w:pPr>
              <w:pStyle w:val="TableContents"/>
              <w:bidi w:val="0"/>
              <w:spacing w:before="0" w:after="283"/>
              <w:jc w:val="left"/>
              <w:rPr>
                <w:sz w:val="4"/>
                <w:szCs w:val="4"/>
              </w:rPr>
            </w:pPr>
            <w:r>
              <w:rPr>
                <w:sz w:val="4"/>
                <w:szCs w:val="4"/>
              </w:rPr>
            </w:r>
          </w:p>
        </w:tc>
      </w:tr>
      <w:tr>
        <w:trPr/>
        <w:tc>
          <w:tcPr>
            <w:tcW w:w="121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321" w:type="dxa"/>
            <w:tcBorders/>
            <w:vAlign w:val="bottom"/>
          </w:tcPr>
          <w:p>
            <w:pPr>
              <w:pStyle w:val="TableContents"/>
              <w:bidi w:val="0"/>
              <w:spacing w:before="0" w:after="283"/>
              <w:jc w:val="left"/>
              <w:rPr/>
            </w:pPr>
            <w:r>
              <w:rPr/>
              <w:t>  </w:t>
            </w:r>
          </w:p>
        </w:tc>
        <w:tc>
          <w:tcPr>
            <w:tcW w:w="86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995" w:type="dxa"/>
            <w:gridSpan w:val="2"/>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283"/>
              <w:jc w:val="left"/>
              <w:rPr/>
            </w:pPr>
            <w:r>
              <w:rPr/>
              <w:t>Exhibit 99.1</w:t>
            </w:r>
          </w:p>
        </w:tc>
        <w:tc>
          <w:tcPr>
            <w:tcW w:w="321" w:type="dxa"/>
            <w:tcBorders/>
            <w:vAlign w:val="bottom"/>
          </w:tcPr>
          <w:p>
            <w:pPr>
              <w:pStyle w:val="TableContents"/>
              <w:bidi w:val="0"/>
              <w:spacing w:before="0" w:after="283"/>
              <w:jc w:val="left"/>
              <w:rPr/>
            </w:pPr>
            <w:r>
              <w:rPr/>
              <w:t>  </w:t>
            </w:r>
          </w:p>
        </w:tc>
        <w:tc>
          <w:tcPr>
            <w:tcW w:w="8674" w:type="dxa"/>
            <w:tcBorders/>
          </w:tcPr>
          <w:p>
            <w:pPr>
              <w:pStyle w:val="TableContents"/>
              <w:bidi w:val="0"/>
              <w:spacing w:before="0" w:after="283"/>
              <w:jc w:val="left"/>
              <w:rPr/>
            </w:pPr>
            <w:r>
              <w:rPr/>
              <w:t>Earnings Release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370033dex991.htm"/>
      <w:bookmarkStart w:id="5" w:name="ksd370033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288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81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Melco Announces Earnings Release Date </w:t>
      </w:r>
    </w:p>
    <w:p>
      <w:pPr>
        <w:pStyle w:val="TextBody"/>
        <w:bidi w:val="0"/>
        <w:spacing w:before="240" w:after="0"/>
        <w:jc w:val="left"/>
        <w:rPr>
          <w:rFonts w:ascii="Times New Roman" w:hAnsi="Times New Roman"/>
          <w:sz w:val="20"/>
        </w:rPr>
      </w:pPr>
      <w:r>
        <w:rPr>
          <w:rFonts w:ascii="Times New Roman" w:hAnsi="Times New Roman"/>
          <w:b/>
          <w:sz w:val="20"/>
        </w:rPr>
        <w:t>Macau, Friday, August</w:t>
      </w:r>
      <w:r>
        <w:rPr>
          <w:rFonts w:ascii="Times New Roman" w:hAnsi="Times New Roman"/>
          <w:sz w:val="20"/>
        </w:rPr>
        <w:t> </w:t>
      </w:r>
      <w:r>
        <w:rPr>
          <w:rFonts w:ascii="Times New Roman" w:hAnsi="Times New Roman"/>
          <w:b/>
          <w:sz w:val="20"/>
        </w:rPr>
        <w:t>7, 2026</w:t>
      </w:r>
      <w:r>
        <w:rPr>
          <w:rFonts w:ascii="Times New Roman" w:hAnsi="Times New Roman"/>
          <w:sz w:val="20"/>
        </w:rPr>
        <w:t xml:space="preserve"> - Melco Resorts &amp; Entertainment Limited (Nasdaq: MLCO), a developer, owner and operator of integrated resort facilities in Asia and Europe, today announces that it will release its unaudited financial results for the second quarter of 2026 on Thursday, August 13, 2026 to be followed by a conference call on the same day at 8:30 a.m. Eastern Time (or 8:30 p.m. Singapore Time). </w:t>
      </w:r>
    </w:p>
    <w:p>
      <w:pPr>
        <w:pStyle w:val="TextBody"/>
        <w:bidi w:val="0"/>
        <w:spacing w:before="240" w:after="0"/>
        <w:jc w:val="left"/>
        <w:rPr>
          <w:rFonts w:ascii="Times New Roman" w:hAnsi="Times New Roman"/>
          <w:sz w:val="20"/>
        </w:rPr>
      </w:pPr>
      <w:r>
        <w:rPr>
          <w:rFonts w:ascii="Times New Roman" w:hAnsi="Times New Roman"/>
          <w:sz w:val="20"/>
        </w:rPr>
        <w:t xml:space="preserve">To join the conference call, please register in advance using the below Online Registration Link. Upon registering, each participant will receive the dial-in numbers, passcode and a unique Personal PIN which can be used to join the conference. </w:t>
      </w:r>
    </w:p>
    <w:p>
      <w:pPr>
        <w:pStyle w:val="TextBody"/>
        <w:bidi w:val="0"/>
        <w:spacing w:before="240" w:after="0"/>
        <w:jc w:val="left"/>
        <w:rPr>
          <w:rFonts w:ascii="Times New Roman" w:hAnsi="Times New Roman"/>
          <w:sz w:val="20"/>
        </w:rPr>
      </w:pPr>
      <w:r>
        <w:rPr>
          <w:rFonts w:ascii="Times New Roman" w:hAnsi="Times New Roman"/>
          <w:sz w:val="20"/>
        </w:rPr>
        <w:t>Online Registration Link:</w:t>
      </w:r>
      <w:r>
        <w:rPr>
          <w:rFonts w:ascii="Times New Roman" w:hAnsi="Times New Roman"/>
          <w:sz w:val="20"/>
          <w:u w:val="single"/>
        </w:rPr>
        <w:t xml:space="preserve"> https://s1.c-conf.com/diamondpass/10055249-7qhfkc.html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audio webcast and replay of the conference call will also be available at </w:t>
      </w:r>
      <w:r>
        <w:rPr>
          <w:rFonts w:ascii="Times New Roman" w:hAnsi="Times New Roman"/>
          <w:sz w:val="20"/>
          <w:u w:val="single"/>
        </w:rPr>
        <w:t>http://www.melco-resorts.com</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MELCO RESORTS &amp; ENTERTAINMENT LIMITED </w:t>
      </w:r>
    </w:p>
    <w:p>
      <w:pPr>
        <w:pStyle w:val="TextBody"/>
        <w:bidi w:val="0"/>
        <w:spacing w:before="0" w:after="0"/>
        <w:jc w:val="left"/>
        <w:rPr>
          <w:rFonts w:ascii="Times New Roman" w:hAnsi="Times New Roman"/>
          <w:sz w:val="20"/>
        </w:rPr>
      </w:pPr>
      <w:r>
        <w:rPr>
          <w:rFonts w:ascii="Times New Roman" w:hAnsi="Times New Roman"/>
          <w:sz w:val="20"/>
        </w:rPr>
        <w:t xml:space="preserve">Incorporated in the Cayman Islands with limited liability </w:t>
      </w:r>
    </w:p>
    <w:p>
      <w:pPr>
        <w:pStyle w:val="TextBody"/>
        <w:bidi w:val="0"/>
        <w:spacing w:before="0" w:after="0"/>
        <w:jc w:val="left"/>
        <w:rPr>
          <w:rFonts w:eastAsia="Times New Roman"/>
          <w:sz w:val="20"/>
        </w:rPr>
      </w:pPr>
      <w:r>
        <w:rPr>
          <w:rFonts w:eastAsia="PMingLiU"/>
          <w:sz w:val="20"/>
        </w:rPr>
        <w:t>新濠博亞娛樂有限公司</w:t>
      </w:r>
      <w:r>
        <w:rPr>
          <w:rFonts w:eastAsia="Times New Roman"/>
          <w:sz w:val="20"/>
        </w:rPr>
        <w:t xml:space="preserve"> </w:t>
      </w:r>
    </w:p>
    <w:p>
      <w:pPr>
        <w:pStyle w:val="TextBody"/>
        <w:bidi w:val="0"/>
        <w:spacing w:before="0" w:after="0"/>
        <w:jc w:val="left"/>
        <w:rPr>
          <w:rFonts w:eastAsia="PMingLiU"/>
          <w:sz w:val="18"/>
        </w:rPr>
      </w:pPr>
      <w:r>
        <w:rPr>
          <w:rFonts w:eastAsia="PMingLiU"/>
          <w:sz w:val="18"/>
        </w:rPr>
        <w:t xml:space="preserve">於開曼群島註冊成立的有限公司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288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Melco Resorts &amp; Entertainment Limited </w:t>
      </w:r>
    </w:p>
    <w:p>
      <w:pPr>
        <w:pStyle w:val="TextBody"/>
        <w:bidi w:val="0"/>
        <w:spacing w:before="120" w:after="0"/>
        <w:jc w:val="left"/>
        <w:rPr>
          <w:rFonts w:ascii="Times New Roman" w:hAnsi="Times New Roman"/>
          <w:sz w:val="20"/>
        </w:rPr>
      </w:pPr>
      <w:r>
        <w:rPr>
          <w:rFonts w:ascii="Times New Roman" w:hAnsi="Times New Roman"/>
          <w:sz w:val="20"/>
        </w:rPr>
        <w:t>The Company, with its American depositary shares listed on the Nasdaq Global Select Market (Nasdaq: MLCO), is a developer, owner and operator of integrated resort facilities in Asia and Europe. The Company currently operates City of Dreams (</w:t>
      </w:r>
      <w:r>
        <w:rPr>
          <w:rFonts w:ascii="Times New Roman" w:hAnsi="Times New Roman"/>
          <w:sz w:val="20"/>
          <w:u w:val="single"/>
        </w:rPr>
        <w:t>www.cityofdreamsmacau.com</w:t>
      </w:r>
      <w:r>
        <w:rPr>
          <w:rFonts w:ascii="Times New Roman" w:hAnsi="Times New Roman"/>
          <w:sz w:val="20"/>
        </w:rPr>
        <w:t>) and Altira Macau (</w:t>
      </w:r>
      <w:r>
        <w:rPr>
          <w:rFonts w:ascii="Times New Roman" w:hAnsi="Times New Roman"/>
          <w:sz w:val="20"/>
          <w:u w:val="single"/>
        </w:rPr>
        <w:t>www.altiramacau.com</w:t>
      </w:r>
      <w:r>
        <w:rPr>
          <w:rFonts w:ascii="Times New Roman" w:hAnsi="Times New Roman"/>
          <w:sz w:val="20"/>
        </w:rPr>
        <w:t>), integrated resorts located in Cotai and Taipa, Macau, respectively. Its business also includes the Mocha Clubs (</w:t>
      </w:r>
      <w:r>
        <w:rPr>
          <w:rFonts w:ascii="Times New Roman" w:hAnsi="Times New Roman"/>
          <w:sz w:val="20"/>
          <w:u w:val="single"/>
        </w:rPr>
        <w:t>www.mochaclubs.com</w:t>
      </w:r>
      <w:r>
        <w:rPr>
          <w:rFonts w:ascii="Times New Roman" w:hAnsi="Times New Roman"/>
          <w:sz w:val="20"/>
        </w:rPr>
        <w:t>), the only non-casino based operation of electronic gaming machines in Macau. In addition, the Company operates Studio City (</w:t>
      </w:r>
      <w:r>
        <w:rPr>
          <w:rFonts w:ascii="Times New Roman" w:hAnsi="Times New Roman"/>
          <w:sz w:val="20"/>
          <w:u w:val="single"/>
        </w:rPr>
        <w:t>www.studiocity-macau.com</w:t>
      </w:r>
      <w:r>
        <w:rPr>
          <w:rFonts w:ascii="Times New Roman" w:hAnsi="Times New Roman"/>
          <w:sz w:val="20"/>
        </w:rPr>
        <w:t>), a cinematically-themed integrated resort in Cotai, Macau. In the Philippines, the Company operates and manages City of Dreams Manila (</w:t>
      </w:r>
      <w:r>
        <w:rPr>
          <w:rFonts w:ascii="Times New Roman" w:hAnsi="Times New Roman"/>
          <w:sz w:val="20"/>
          <w:u w:val="single"/>
        </w:rPr>
        <w:t>www.cityofdreamsmanila.com</w:t>
      </w:r>
      <w:r>
        <w:rPr>
          <w:rFonts w:ascii="Times New Roman" w:hAnsi="Times New Roman"/>
          <w:sz w:val="20"/>
        </w:rPr>
        <w:t>), an integrated resort in the Entertainment City complex in Manila. In Europe, the Company operates City of Dreams Mediterranean, an integrated resort in Limassol, in the Republic of Cyprus (</w:t>
      </w:r>
      <w:r>
        <w:rPr>
          <w:rFonts w:ascii="Times New Roman" w:hAnsi="Times New Roman"/>
          <w:sz w:val="20"/>
          <w:u w:val="single"/>
        </w:rPr>
        <w:t>www.cityofdreamsmed.com.cy</w:t>
      </w:r>
      <w:r>
        <w:rPr>
          <w:rFonts w:ascii="Times New Roman" w:hAnsi="Times New Roman"/>
          <w:sz w:val="20"/>
        </w:rPr>
        <w:t>) and licensed satellite casinos in other cities in Cyprus (the “Cyprus Casinos”). In South Asia, the Company operates the casino and manages the Nüwa hotel at City of Dreams Sri Lanka (</w:t>
      </w:r>
      <w:r>
        <w:rPr>
          <w:rFonts w:ascii="Times New Roman" w:hAnsi="Times New Roman"/>
          <w:sz w:val="20"/>
          <w:u w:val="single"/>
        </w:rPr>
        <w:t>www.cityofdreamssrilanka.com</w:t>
      </w:r>
      <w:r>
        <w:rPr>
          <w:rFonts w:ascii="Times New Roman" w:hAnsi="Times New Roman"/>
          <w:sz w:val="20"/>
        </w:rPr>
        <w:t xml:space="preserve">), an integrated resort in Colombo, Sri Lanka. For more information about the Company, please visit </w:t>
      </w:r>
      <w:r>
        <w:rPr>
          <w:rFonts w:ascii="Times New Roman" w:hAnsi="Times New Roman"/>
          <w:sz w:val="20"/>
          <w:u w:val="single"/>
        </w:rPr>
        <w:t>www.melco-resorts.com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majority owned by Melco International Development Limited, a company listed on the Main Board of The Stock Exchange of Hong Kong Limited, which is in turn majority owned and led by Mr. Lawrence Ho, who is the Chairman, Executive Director and Chief Executive Officer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915</Words>
  <Characters>5253</Characters>
  <CharactersWithSpaces>6163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Earnings Release Date</dc:title>
</cp:coreProperties>
</file>