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40"/>
          <w:szCs w:val="40"/>
          <w:b w:val="1"/>
          <w:bCs w:val="1"/>
          <w:color w:val="auto"/>
        </w:rPr>
        <w:t>MELCO RESORTS &amp; ENTERTAINMENT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247650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71 Robinson Road</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#04-03</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Singapore 068895</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499"/>
        <w:spacing w:after="0" w:line="181" w:lineRule="auto"/>
        <w:rPr>
          <w:sz w:val="20"/>
          <w:szCs w:val="20"/>
          <w:color w:val="auto"/>
        </w:rPr>
      </w:pPr>
      <w:r>
        <w:rPr>
          <w:rFonts w:ascii="Times New Roman" w:cs="Times New Roman" w:eastAsia="Times New Roman" w:hAnsi="Times New Roman"/>
          <w:sz w:val="18"/>
          <w:szCs w:val="18"/>
          <w:b w:val="1"/>
          <w:bCs w:val="1"/>
          <w:color w:val="auto"/>
        </w:rPr>
        <w:t>38</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The Centrium</w:t>
      </w: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60 Wyndham Street</w:t>
      </w:r>
    </w:p>
    <w:p>
      <w:pPr>
        <w:spacing w:after="0" w:line="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Central</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239395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320" w:top="225"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Signature</w:t>
            </w:r>
          </w:p>
        </w:tc>
        <w:tc>
          <w:tcPr>
            <w:tcW w:w="10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Exhibit 99.1</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MELCO RESORTS &amp; ENTERTAINMENT LIMITED</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Geoffrey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Geoffrey Davis, CFA</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320" w:top="455"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6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tcPr>
          <w:p>
            <w:pPr>
              <w:spacing w:after="0"/>
              <w:rPr>
                <w:sz w:val="15"/>
                <w:szCs w:val="15"/>
                <w:color w:val="auto"/>
              </w:rPr>
            </w:pPr>
          </w:p>
        </w:tc>
      </w:tr>
      <w:tr>
        <w:trPr>
          <w:trHeight w:val="318"/>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Press Release</w:t>
            </w:r>
          </w:p>
        </w:tc>
      </w:tr>
    </w:tbl>
    <w:p>
      <w:pPr>
        <w:spacing w:after="0" w:line="1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39"/>
          </w:cols>
          <w:pgMar w:left="320" w:top="45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173990</wp:posOffset>
            </wp:positionV>
            <wp:extent cx="106299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299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Melco Announces Extension of Maturity Date of Revolving Credit Facilities and Establishment of Incremental Facility</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MACAU, June 9, 2026 (GLOBE NEWSWIRE) — Melco Resorts &amp; Entertainment Limited (Nasdaq: MLCO) (“Melco” or the “Company”), a developer, owner, and operator of integrated resort facilities in Asia and Europe, today announces that the maturity date of its HK$15,237,500,000 (equivalent to approximately US$1.94 billion) revolving credit facility (the “2020 Credit Facilities”) has been extended from April 29, 2027 to June 9, 2031 and an incremental facility of HK$6,438,775,000 (equivalent to approximately US$821.6 million) has been established under the terms of the 2020 Credit Facilities such that the total commitments under the 2020 Credit Facilities is HK$21,676,275,000 (equivalent to approximately US$2.77 billion).</w:t>
      </w:r>
    </w:p>
    <w:p>
      <w:pPr>
        <w:spacing w:after="0" w:line="1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2020 Credit Facilities were originally established pursuant to a senior facilities agreement dated April 29, 2020, entered into between among others, MCO Nominee One Limited (“MCO Nominee One”), a subsidiary of Melco, as borrower, and Bank of China Limited, Macau Branch as agent.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current extension of the 2020 Credit Facilities and establishment of an incremental facility of HK$6,438,775,000 (equivalent to approximately US$821.6 million) was made pursuant to a third amended and restated facility agreement dated June 9, 2026 (the “2026 Amendment and Restatement Agreement”). Key terms such as pricing and financial covenants remain unchanged.</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2026 Amendment and Restatement Agreement, MCO Nominee One agreed to pay customary fees to the consenting lenders and incremental facility lenders.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Melco Resorts &amp; Entertainment Limited</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with its American depositary shares listed on the Nasdaq Global Select Market (Nasdaq: MLCO), is a developer, owner and operator of integrated resort facilities in Asia and Europe. The Company currently operates City of Dreams (www.cityofdreamsmacau.com) and Altira Macau (www.altiramacau.com), integrated resorts located in Cotai and Taipa, Macau, respectively. Its business also includes the Mocha Clubs (www.mochaclubs.com), the only non-casino based operation of electronic gaming machines in Macau. In addition, the Company operates Studio City (www.studiocity-macau.com), a cinematically-themed integrated resort in Cotai, Macau. In the Philippines, the Company operates and manages City of Dreams Manila (www.cityofdreamsmanila.com), an integrated resort in the Entertainment City complex in Manila. In Europe, the Company operates City of Dreams Mediterranean, an integrated resort in Limassol, in the Republic of Cyprus (www.cityofdreamsmed.com.cy) and licensed satellite casinos in other cities in Cyprus (the “Cyprus Casinos”). In South Asia, the Company operates the casino and manages the Nuwa hotel at City of Dreams Sri Lanka (www.cityofdreamssrilanka.com), an integrated resort in Colombo, Sri Lanka. For more information about the Company, please visit www.melco-resorts.com.</w:t>
      </w:r>
    </w:p>
    <w:p>
      <w:pPr>
        <w:spacing w:after="0" w:line="1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investment community,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Jeanny Kim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Group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2598 3698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jeannykim@melco-resorts.com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media enquiries,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Chimmy Leung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Corporate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3151 3765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chimmyleung@melco-resorts.com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2026-06-09T07:45:13Z</dcterms:created>
  <dcterms:modified xsi:type="dcterms:W3CDTF">2026-06-09T07:45:13Z</dcterms:modified>
</cp:coreProperties>
</file>