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1322d6k.htm"/>
        <w:bookmarkStart w:id="1" w:name="ksd91322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001-33178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MELCO RESORTS &amp; ENTERTAINMENT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Singapore 068895</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6"/>
        <w:gridCol w:w="331"/>
        <w:gridCol w:w="8608"/>
      </w:tblGrid>
      <w:tr>
        <w:trPr/>
        <w:tc>
          <w:tcPr>
            <w:tcW w:w="1266"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8608" w:type="dxa"/>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283"/>
              <w:jc w:val="left"/>
              <w:rPr/>
            </w:pPr>
            <w:hyperlink w:anchor="tx91322_1">
              <w:r>
                <w:rPr>
                  <w:rStyle w:val="InternetLink"/>
                </w:rPr>
                <w:t xml:space="preserve">Signature </w:t>
              </w:r>
            </w:hyperlink>
          </w:p>
        </w:tc>
        <w:tc>
          <w:tcPr>
            <w:tcW w:w="331" w:type="dxa"/>
            <w:tcBorders/>
            <w:vAlign w:val="bottom"/>
          </w:tcPr>
          <w:p>
            <w:pPr>
              <w:pStyle w:val="TableContents"/>
              <w:bidi w:val="0"/>
              <w:spacing w:before="0" w:after="283"/>
              <w:jc w:val="left"/>
              <w:rPr/>
            </w:pPr>
            <w:r>
              <w:rPr/>
              <w:t>  </w:t>
            </w:r>
          </w:p>
        </w:tc>
        <w:tc>
          <w:tcPr>
            <w:tcW w:w="8608" w:type="dxa"/>
            <w:tcBorders/>
          </w:tcPr>
          <w:p>
            <w:pPr>
              <w:pStyle w:val="TableContents"/>
              <w:bidi w:val="0"/>
              <w:spacing w:before="0" w:after="283"/>
              <w:jc w:val="right"/>
              <w:rPr/>
            </w:pPr>
            <w:r>
              <w:rPr/>
              <w:t>3</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8939" w:type="dxa"/>
            <w:gridSpan w:val="2"/>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283"/>
              <w:jc w:val="left"/>
              <w:rPr/>
            </w:pPr>
            <w:hyperlink w:anchor="d91322dex991.htm">
              <w:r>
                <w:rPr>
                  <w:rStyle w:val="InternetLink"/>
                </w:rPr>
                <w:t>Exhibit 99.1</w:t>
              </w:r>
            </w:hyperlink>
          </w:p>
        </w:tc>
        <w:tc>
          <w:tcPr>
            <w:tcW w:w="331" w:type="dxa"/>
            <w:tcBorders/>
            <w:vAlign w:val="bottom"/>
          </w:tcPr>
          <w:p>
            <w:pPr>
              <w:pStyle w:val="TableContents"/>
              <w:bidi w:val="0"/>
              <w:spacing w:before="0" w:after="283"/>
              <w:jc w:val="left"/>
              <w:rPr/>
            </w:pPr>
            <w:r>
              <w:rPr/>
              <w:t>  </w:t>
            </w:r>
          </w:p>
        </w:tc>
        <w:tc>
          <w:tcPr>
            <w:tcW w:w="860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91322_1"/>
      <w:bookmarkEnd w:id="3"/>
      <w:r>
        <w:rPr>
          <w:rFonts w:ascii="Times New Roman" w:hAnsi="Times New Roman"/>
          <w:b/>
          <w:sz w:val="20"/>
        </w:rPr>
        <w:t xml:space="preserve">SIGNATURE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21"/>
        <w:gridCol w:w="143"/>
        <w:gridCol w:w="2518"/>
      </w:tblGrid>
      <w:tr>
        <w:trPr/>
        <w:tc>
          <w:tcPr>
            <w:tcW w:w="142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MELCO RESORTS &amp; ENTERTAINMENT LIMITED</w:t>
            </w:r>
          </w:p>
        </w:tc>
      </w:tr>
      <w:tr>
        <w:trPr>
          <w:trHeight w:val="240" w:hRule="atLeast"/>
        </w:trPr>
        <w:tc>
          <w:tcPr>
            <w:tcW w:w="1421" w:type="dxa"/>
            <w:tcBorders/>
            <w:vAlign w:val="center"/>
          </w:tcPr>
          <w:p>
            <w:pPr>
              <w:pStyle w:val="TableContents"/>
              <w:bidi w:val="0"/>
              <w:spacing w:before="0" w:after="283"/>
              <w:jc w:val="left"/>
              <w:rPr>
                <w:sz w:val="4"/>
                <w:szCs w:val="4"/>
              </w:rPr>
            </w:pPr>
            <w:r>
              <w:rPr>
                <w:sz w:val="4"/>
                <w:szCs w:val="4"/>
              </w:rPr>
            </w:r>
          </w:p>
        </w:tc>
        <w:tc>
          <w:tcPr>
            <w:tcW w:w="2661" w:type="dxa"/>
            <w:gridSpan w:val="2"/>
            <w:tcBorders/>
            <w:vAlign w:val="center"/>
          </w:tcPr>
          <w:p>
            <w:pPr>
              <w:pStyle w:val="TableContents"/>
              <w:bidi w:val="0"/>
              <w:spacing w:before="0" w:after="283"/>
              <w:jc w:val="left"/>
              <w:rPr>
                <w:sz w:val="4"/>
                <w:szCs w:val="4"/>
              </w:rPr>
            </w:pPr>
            <w:r>
              <w:rPr>
                <w:sz w:val="4"/>
                <w:szCs w:val="4"/>
              </w:rPr>
            </w:r>
          </w:p>
        </w:tc>
      </w:tr>
      <w:tr>
        <w:trPr/>
        <w:tc>
          <w:tcPr>
            <w:tcW w:w="1421" w:type="dxa"/>
            <w:tcBorders/>
          </w:tcPr>
          <w:p>
            <w:pPr>
              <w:pStyle w:val="TableContents"/>
              <w:bidi w:val="0"/>
              <w:spacing w:before="0" w:after="283"/>
              <w:jc w:val="left"/>
              <w:rPr/>
            </w:pPr>
            <w:r>
              <w:rPr/>
              <w:t>By:</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Davis</w:t>
            </w:r>
          </w:p>
        </w:tc>
      </w:tr>
      <w:tr>
        <w:trPr/>
        <w:tc>
          <w:tcPr>
            <w:tcW w:w="1421" w:type="dxa"/>
            <w:tcBorders/>
          </w:tcPr>
          <w:p>
            <w:pPr>
              <w:pStyle w:val="TableContents"/>
              <w:bidi w:val="0"/>
              <w:spacing w:before="0" w:after="283"/>
              <w:jc w:val="left"/>
              <w:rPr/>
            </w:pPr>
            <w:r>
              <w:rPr/>
              <w:t>Name:</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bidi w:val="0"/>
              <w:spacing w:before="0" w:after="283"/>
              <w:jc w:val="left"/>
              <w:rPr/>
            </w:pPr>
            <w:r>
              <w:rPr/>
              <w:t>Geoffrey Davis, CFA</w:t>
            </w:r>
          </w:p>
        </w:tc>
      </w:tr>
      <w:tr>
        <w:trPr/>
        <w:tc>
          <w:tcPr>
            <w:tcW w:w="1421" w:type="dxa"/>
            <w:tcBorders/>
          </w:tcPr>
          <w:p>
            <w:pPr>
              <w:pStyle w:val="TableContents"/>
              <w:bidi w:val="0"/>
              <w:spacing w:before="0" w:after="283"/>
              <w:jc w:val="left"/>
              <w:rPr/>
            </w:pPr>
            <w:r>
              <w:rPr/>
              <w:t>Title:</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5"/>
        <w:gridCol w:w="321"/>
        <w:gridCol w:w="8669"/>
      </w:tblGrid>
      <w:tr>
        <w:trPr/>
        <w:tc>
          <w:tcPr>
            <w:tcW w:w="121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121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321"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8990"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Exhibit 99.1</w:t>
            </w:r>
          </w:p>
        </w:tc>
        <w:tc>
          <w:tcPr>
            <w:tcW w:w="321"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Unaudited Results for First Quarter of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4" w:name="d91322dex991.htm"/>
      <w:bookmarkStart w:id="5" w:name="ksd91322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18110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2571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Melco Resorts Announces Unaudited First Quarter 2026 Earnings </w:t>
      </w:r>
    </w:p>
    <w:p>
      <w:pPr>
        <w:pStyle w:val="TextBody"/>
        <w:bidi w:val="0"/>
        <w:spacing w:before="120" w:after="0"/>
        <w:jc w:val="left"/>
        <w:rPr>
          <w:rFonts w:ascii="Times New Roman" w:hAnsi="Times New Roman"/>
          <w:sz w:val="20"/>
        </w:rPr>
      </w:pPr>
      <w:r>
        <w:rPr>
          <w:rFonts w:ascii="Times New Roman" w:hAnsi="Times New Roman"/>
          <w:sz w:val="20"/>
        </w:rPr>
        <w:t xml:space="preserve">MACAU, April 30, 2026 (GLOBE NEWSWIRE) — Melco Resorts &amp; Entertainment Limited (Nasdaq: MLCO) (“Melco Resorts” or the “Company”), a developer, owner, and operator of integrated resort facilities in Asia and Europe, today reported its unaudited financial results for the first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revenues for the first quarter of 2026 were US$1.37 billion, representing an increase of approximately 11% from US$1.23 billion for the comparable period in 2025. The increase in total operating revenues was primarily attributable to the improved performance in mass market operations.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for the first quarter of 2026 was US$179.0 million, compared with US$144.9 million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Melco Resorts’ Adjusted Property EBITDA(1) was US$381.0 million in the first quarter of 2026, compared with US$341.0 million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Net income attributable to Melco Resorts &amp; Entertainment Limited for the first quarter of 2026 was US$76.8 million, or US$0.20 per American depositary share (“ADS”), compared with US$32.5 million, or US$0.08 per ADS, in the first quarter of 2025. The net loss attributable to noncontrolling interests was US$6.0 million and US$4.8 million during the first quarters of 2026 and 2025, respectively, the majority of which related to Studio City and City of Dreams Mediterranean and Other. </w:t>
      </w:r>
    </w:p>
    <w:p>
      <w:pPr>
        <w:pStyle w:val="TextBody"/>
        <w:bidi w:val="0"/>
        <w:spacing w:before="240" w:after="0"/>
        <w:jc w:val="left"/>
        <w:rPr>
          <w:rFonts w:ascii="Times New Roman" w:hAnsi="Times New Roman"/>
          <w:sz w:val="20"/>
        </w:rPr>
      </w:pPr>
      <w:r>
        <w:rPr>
          <w:rFonts w:ascii="Times New Roman" w:hAnsi="Times New Roman"/>
          <w:sz w:val="20"/>
        </w:rPr>
        <w:t xml:space="preserve">Mr. Lawrence Ho, our Chairman and Chief Executive Officer, commented, “Melco Resorts’ Adjusted Property EBITDA grew by approximately 12% year-over-year to US$381 million for the first quarter of 2026. In Macau, Property EBITDA grew by approximately 12% year-over-year to US$334 million and Property EBITDA margin improved to approximately 28%. Our efforts continue to center on increasing flow through and profitability while enhancing our competitive positioning with key growth initiatives. </w:t>
      </w:r>
    </w:p>
    <w:p>
      <w:pPr>
        <w:pStyle w:val="TextBody"/>
        <w:bidi w:val="0"/>
        <w:spacing w:before="240" w:after="0"/>
        <w:jc w:val="left"/>
        <w:rPr/>
      </w:pPr>
      <w:r>
        <w:rPr/>
        <w:t>“</w:t>
      </w:r>
      <w:r>
        <w:rPr>
          <w:rFonts w:ascii="Times New Roman" w:hAnsi="Times New Roman"/>
          <w:sz w:val="20"/>
        </w:rPr>
        <w:t xml:space="preserve">In the Philippines, City of Dreams Manila exhibited solid performance despite heightened competition and continued industry headwinds that continued into 2026, with Property EBITDA rising by 24% year-over-year. In Cyprus, results at City of Dreams Mediterranean and our satellite casinos were impacted by the conflicts in the Middle East that began in late February, which adversely affected tourism arrivals. We are closely monitoring developments and will remain operationally flexible as we position the business for a recovery in travel demand.” </w:t>
      </w:r>
    </w:p>
    <w:p>
      <w:pPr>
        <w:pStyle w:val="TextBody"/>
        <w:bidi w:val="0"/>
        <w:spacing w:before="360" w:after="0"/>
        <w:jc w:val="left"/>
        <w:rPr>
          <w:rFonts w:ascii="Times New Roman" w:hAnsi="Times New Roman"/>
          <w:b/>
          <w:sz w:val="20"/>
        </w:rPr>
      </w:pPr>
      <w:r>
        <w:rPr>
          <w:rFonts w:ascii="Times New Roman" w:hAnsi="Times New Roman"/>
          <w:b/>
          <w:sz w:val="20"/>
        </w:rPr>
        <w:t xml:space="preserve">City of Dreams First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March 31, 2026, total operating revenues at City of Dreams were US$734.6 million, compared with US$658.1 million in the first quarter of 2025. City of Dreams’ Adjusted EBITDA was US$214.4 million in the first quarter of 2026, compared with US$195.9 million in the first quarter of 2025. The year-over-year increase in Adjusted EBITDA was primarily a result of improved mass market performance and better overall performance in non-gaming operations. </w:t>
      </w:r>
    </w:p>
    <w:p>
      <w:pPr>
        <w:pStyle w:val="TextBody"/>
        <w:bidi w:val="0"/>
        <w:spacing w:before="240" w:after="0"/>
        <w:jc w:val="left"/>
        <w:rPr>
          <w:rFonts w:ascii="Times New Roman" w:hAnsi="Times New Roman"/>
          <w:sz w:val="20"/>
        </w:rPr>
      </w:pPr>
      <w:r>
        <w:rPr>
          <w:rFonts w:ascii="Times New Roman" w:hAnsi="Times New Roman"/>
          <w:sz w:val="20"/>
        </w:rPr>
        <w:t xml:space="preserve">Rolling chip volume increased to US$6.37 billion during the first quarter of 2026, compared with US$6.05 billion in the first quarter of 2025 and win rate was 3.50% in the first quarter of 2026, compared with 3.74% in the first quarter of 2025. The expected rolling chip win rate range is 2.85%-3.15%.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increased to US$1.71 billion in the first quarter of 2026, compared with US$1.59 billion in the first quarter of 2025 and hold percentage was 31.6% in the first quarter of 2026, compared with 30.2%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first quarter of 2026 was US$1.72 billion, compared with US$0.91 billion in the first quarter of 2025 and win rate was 2.9% in the first quarter of 2026, compared with 3.2%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 at City of Dreams in the first quarter of 2026 was US$97.4 million, compared with US$84.1 million in the first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Studio City First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March 31, 2026, total operating revenues at Studio City were US$392.0 million, compared with US$354.5 million in the first quarter of 2025. Studio City’s Adjusted EBITDA was US$111.7 million in the first quarter of 2026, compared with US$97.3 million in the first quarter of 2025. The year-over-year increase in Adjusted EBITDA was primarily a result of better mass market performance.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was US$901.3 million in the first quarter of 2026, compared with US$923.9 million in the first quarter of 2025 and hold percentage was 36.9% in the first quarter of 2026, compared with 32.8% in the first quarter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Gaming machine handle for the first quarter of 2026 was US$1.09 billion, compared with US$0.87 billion in the first quarter of 2025 and win rate was 3.7% in the first quarter of 2026, compared with 3.8%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 at Studio City was US$73.4 million in the first quarter of 2026, compared with US$70.7 million in the first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Altira Macau First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March 31, 2026, total operating revenues at Altira Macau were US$38.1 million, compared with US$27.9 million in the first quarter of 2025. Altira Macau’s Adjusted EBITDA was US$4.1 million in the first quarter of 2026, compared with negative Adjusted EBITDA of US$0.7 million in the first quarter of 2025. The year-over-year change in Adjusted EBITDA was primarily a result of better mass market performance.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was US$145.8 million in the first quarter of 2026 compared with US$108.8 million in the first quarter of 2025 and hold percentage was 23.0% in the first quarter of 2026, compared with 22.4%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first quarter of 2026 was US$208.6 million, compared with US$131.6 million in the first quarter of 2025 and win rate was 3.7% in the first quarter of 2026, compared with 2.9%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 at Altira Macau was US$5.5 million in the first quarter of 2026, compared with US$5.0 million in the first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Mocha First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fourth quarter of 2025, the Mocha and Other segment included the operations of Grand Dragon Casino before its closure in September 2025. This segment has been renamed to the Mocha segment from the fourth quarter of 2025 onwards.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government mandated closures in 2025 as described in the prior quarter earnings release, the Mocha segment now includes results for three Mocha Clubs, namely Mocha Inner Harbour, Mocha Golden Dragon and Mocha Hotel Sintra.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revenues from Mocha were US$15.2 million in the first quarter of 2026, compared with US$30.6 million from Mocha and Other in the first quarter of 2025. Mocha’s Adjusted EBITDA was US$4.2 million in the first quarter of 2026, compared with US$6.8 million for Mocha and Other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first quarter of 2026 was US$381.1 million, compared with US$558.8 million in the first quarter of 2025 and win rate was 4.0% for both first quarters of 2026 and 2025. </w:t>
      </w:r>
    </w:p>
    <w:p>
      <w:pPr>
        <w:pStyle w:val="TextBody"/>
        <w:bidi w:val="0"/>
        <w:spacing w:before="360" w:after="0"/>
        <w:jc w:val="left"/>
        <w:rPr>
          <w:rFonts w:ascii="Times New Roman" w:hAnsi="Times New Roman"/>
          <w:b/>
          <w:sz w:val="20"/>
        </w:rPr>
      </w:pPr>
      <w:r>
        <w:rPr>
          <w:rFonts w:ascii="Times New Roman" w:hAnsi="Times New Roman"/>
          <w:b/>
          <w:sz w:val="20"/>
        </w:rPr>
        <w:t xml:space="preserve">City of Dreams Manila First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March 31, 2026, total operating revenues at City of Dreams Manila were US$105.5 million, compared with US$101.6 million in the first quarter of 2025. City of Dreams Manila’s Adjusted EBITDA was US$37.4 million in the first quarter of 2026, compared with US$30.1 million in the comparable period of 2025. The year-over-year increase in Adjusted EBITDA was primarily a result of better performance in the rolling chip operations. </w:t>
      </w:r>
    </w:p>
    <w:p>
      <w:pPr>
        <w:pStyle w:val="TextBody"/>
        <w:bidi w:val="0"/>
        <w:spacing w:before="240" w:after="0"/>
        <w:jc w:val="left"/>
        <w:rPr>
          <w:rFonts w:ascii="Times New Roman" w:hAnsi="Times New Roman"/>
          <w:sz w:val="20"/>
        </w:rPr>
      </w:pPr>
      <w:r>
        <w:rPr>
          <w:rFonts w:ascii="Times New Roman" w:hAnsi="Times New Roman"/>
          <w:sz w:val="20"/>
        </w:rPr>
        <w:t xml:space="preserve">City of Dreams Manila’s rolling chip volume was US$460.1 million in the first quarter of 2026, compared with US$351.9 million in the first quarter of 2025 and win rate was 5.18% in the first quarter of 2026, compared with 2.98% in the first quarter of 2025. The expected rolling chip win rate range is 2.85%-3.15%.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decreased to US$132.6 million in the first quarter of 2026, compared with US$145.5 million in the first quarter of 2025 and hold percentage was 33.3% in the first quarter of 2026, compared with 32.6%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first quarter of 2026 was US$0.97 billion, compared with US$1.01 billion in the first quarter of 2025 and win rate was 5.2% in the first quarter of 2026, compared with 5.1%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 at City of Dreams Manila in the first quarter of 2026 was US$23.5 million, compared with US$26.6 million in the first quarter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City of Dreams Mediterranean and Other First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City of Dreams Mediterranean in conjunction with three satellite casinos in Cyprus. </w:t>
      </w:r>
    </w:p>
    <w:p>
      <w:pPr>
        <w:pStyle w:val="TextBody"/>
        <w:bidi w:val="0"/>
        <w:spacing w:before="120" w:after="0"/>
        <w:jc w:val="left"/>
        <w:rPr>
          <w:rFonts w:ascii="Times New Roman" w:hAnsi="Times New Roman"/>
          <w:sz w:val="20"/>
        </w:rPr>
      </w:pPr>
      <w:r>
        <w:rPr>
          <w:rFonts w:ascii="Times New Roman" w:hAnsi="Times New Roman"/>
          <w:sz w:val="20"/>
        </w:rPr>
        <w:t xml:space="preserve">Total operating revenues at City of Dreams Mediterranean and Other for the quarter ended March 31, 2026 were US$65.3 million, compared with US$58.5 million in the first quarter of 2025. City of Dreams Mediterranean and Other’s Adjusted EBITDA was US$9.0 million in the first quarter of 2026, compared with US$11.6 million in the first quarter of 2025. </w:t>
      </w:r>
    </w:p>
    <w:p>
      <w:pPr>
        <w:pStyle w:val="TextBody"/>
        <w:bidi w:val="0"/>
        <w:spacing w:before="120" w:after="0"/>
        <w:jc w:val="left"/>
        <w:rPr>
          <w:rFonts w:ascii="Times New Roman" w:hAnsi="Times New Roman"/>
          <w:sz w:val="20"/>
        </w:rPr>
      </w:pPr>
      <w:r>
        <w:rPr>
          <w:rFonts w:ascii="Times New Roman" w:hAnsi="Times New Roman"/>
          <w:sz w:val="20"/>
        </w:rPr>
        <w:t xml:space="preserve">Rolling chip volume was US$0.2 million for the first quarter of 2026 compared with US$11.9 million in the first quarter of 2025 and win rate was 15.52% in the first quarter of 2026, compared with 3.99% in the first quarter of 2025. The expected rolling chip win rate range is 2.85%-3.15%. The significant movement in the rolling chip win rate resulted from low gaming volumes. </w:t>
      </w:r>
    </w:p>
    <w:p>
      <w:pPr>
        <w:pStyle w:val="TextBody"/>
        <w:bidi w:val="0"/>
        <w:spacing w:before="120" w:after="0"/>
        <w:jc w:val="left"/>
        <w:rPr>
          <w:rFonts w:ascii="Times New Roman" w:hAnsi="Times New Roman"/>
          <w:sz w:val="20"/>
        </w:rPr>
      </w:pPr>
      <w:r>
        <w:rPr>
          <w:rFonts w:ascii="Times New Roman" w:hAnsi="Times New Roman"/>
          <w:sz w:val="20"/>
        </w:rPr>
        <w:t xml:space="preserve">Mass market table games drop was US$121.0 million in the first quarter of 2026, compared with US$145.0 million in the first quarter of 2025 and hold percentage was 27.5% in the first quarter of 2026, compared with 20.0% in the first quarter of 2025. </w:t>
      </w:r>
    </w:p>
    <w:p>
      <w:pPr>
        <w:pStyle w:val="TextBody"/>
        <w:bidi w:val="0"/>
        <w:spacing w:before="120" w:after="0"/>
        <w:jc w:val="left"/>
        <w:rPr>
          <w:rFonts w:ascii="Times New Roman" w:hAnsi="Times New Roman"/>
          <w:sz w:val="20"/>
        </w:rPr>
      </w:pPr>
      <w:r>
        <w:rPr>
          <w:rFonts w:ascii="Times New Roman" w:hAnsi="Times New Roman"/>
          <w:sz w:val="20"/>
        </w:rPr>
        <w:t xml:space="preserve">Gaming machine handle for the first quarter of 2026 was US$635.2 million, compared with US$591.2 million in the first quarter of 2025 and win rate was 5.0% in both first quarters of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Total non-gaming revenue at City of Dreams Mediterranean and Other in the first quarter of 2026 was US$12.8 million, compared with US$18.8 million in the first quarter of 2025. </w:t>
      </w:r>
    </w:p>
    <w:p>
      <w:pPr>
        <w:pStyle w:val="TextBody"/>
        <w:bidi w:val="0"/>
        <w:spacing w:before="200" w:after="0"/>
        <w:jc w:val="left"/>
        <w:rPr>
          <w:rFonts w:ascii="Times New Roman" w:hAnsi="Times New Roman"/>
          <w:b/>
          <w:sz w:val="20"/>
        </w:rPr>
      </w:pPr>
      <w:r>
        <w:rPr>
          <w:rFonts w:ascii="Times New Roman" w:hAnsi="Times New Roman"/>
          <w:b/>
          <w:sz w:val="20"/>
        </w:rPr>
        <w:t xml:space="preserve">Other Operations </w:t>
      </w:r>
    </w:p>
    <w:p>
      <w:pPr>
        <w:pStyle w:val="TextBody"/>
        <w:bidi w:val="0"/>
        <w:spacing w:before="120" w:after="0"/>
        <w:jc w:val="left"/>
        <w:rPr>
          <w:rFonts w:ascii="Times New Roman" w:hAnsi="Times New Roman"/>
          <w:sz w:val="20"/>
        </w:rPr>
      </w:pPr>
      <w:r>
        <w:rPr>
          <w:rFonts w:ascii="Times New Roman" w:hAnsi="Times New Roman"/>
          <w:sz w:val="20"/>
        </w:rPr>
        <w:t xml:space="preserve">Other Operations include the Company’s casino operations at City of Dreams Sri Lanka, which opened on August 1, 2025, and provision of management services to the Nüwa hotel at City of Dreams Sri Lanka, which opened to the public on July 15, 2025. </w:t>
      </w:r>
    </w:p>
    <w:p>
      <w:pPr>
        <w:pStyle w:val="TextBody"/>
        <w:bidi w:val="0"/>
        <w:spacing w:before="120" w:after="0"/>
        <w:jc w:val="left"/>
        <w:rPr>
          <w:rFonts w:ascii="Times New Roman" w:hAnsi="Times New Roman"/>
          <w:sz w:val="20"/>
        </w:rPr>
      </w:pPr>
      <w:r>
        <w:rPr>
          <w:rFonts w:ascii="Times New Roman" w:hAnsi="Times New Roman"/>
          <w:sz w:val="20"/>
        </w:rPr>
        <w:t xml:space="preserve">Total operating revenues from Other Operations were US$14.3 million for the quarter ended March 31, 2026. Adjusted EBITDA from Other Operations was US$0.3 million in the first quarter of 2026. </w:t>
      </w:r>
    </w:p>
    <w:p>
      <w:pPr>
        <w:pStyle w:val="TextBody"/>
        <w:bidi w:val="0"/>
        <w:spacing w:before="240" w:after="0"/>
        <w:jc w:val="left"/>
        <w:rPr>
          <w:rFonts w:ascii="Times New Roman" w:hAnsi="Times New Roman"/>
          <w:b/>
          <w:sz w:val="20"/>
        </w:rPr>
      </w:pPr>
      <w:r>
        <w:rPr>
          <w:rFonts w:ascii="Times New Roman" w:hAnsi="Times New Roman"/>
          <w:b/>
          <w:sz w:val="20"/>
        </w:rPr>
        <w:t xml:space="preserve">Other Factors Affecting Earnings </w:t>
      </w:r>
    </w:p>
    <w:p>
      <w:pPr>
        <w:pStyle w:val="TextBody"/>
        <w:bidi w:val="0"/>
        <w:spacing w:before="120" w:after="0"/>
        <w:jc w:val="left"/>
        <w:rPr>
          <w:rFonts w:ascii="Times New Roman" w:hAnsi="Times New Roman"/>
          <w:sz w:val="20"/>
        </w:rPr>
      </w:pPr>
      <w:r>
        <w:rPr>
          <w:rFonts w:ascii="Times New Roman" w:hAnsi="Times New Roman"/>
          <w:sz w:val="20"/>
        </w:rPr>
        <w:t xml:space="preserve">Total net non-operating expenses for the first quarter of 2026 were US$101.0 million, which mainly included interest expense of US$111.8 million, partially offset by net foreign exchange gains of US$8.8 million.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costs of US$141.1 million were recorded in the first quarter of 2026, of which US$5.0 million related to the amortization expense for land use rights.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for Studio City for the three months ended March 31, 2026 referred to above was US$31.7 million more than the Adjusted EBITDA of Studio City reported in the earnings release for Studio City International Holdings Limited (“SCIHL”) dated April 30, 2026 (the “Studio City Earnings Release”). Adjusted EBITDA of Studio City reported in the Studio City Earnings Release includes certain intercompany charges that are not included in Adjusted EBITDA for Studio City reported in this press release. Such intercompany charges include, among other items, fees and shared service charges billed between SCIHL and its subsidiaries and certain subsidiaries of Melco Resorts. Additionally, Adjusted EBITDA of Studio City presented in this press release does not reflect certain gaming concession related costs and certain intercompany costs related to the gaming operations at Studio City Casino. </w:t>
      </w:r>
    </w:p>
    <w:p>
      <w:pPr>
        <w:pStyle w:val="TextBody"/>
        <w:bidi w:val="0"/>
        <w:spacing w:before="240" w:after="0"/>
        <w:jc w:val="left"/>
        <w:rPr>
          <w:rFonts w:ascii="Times New Roman" w:hAnsi="Times New Roman"/>
          <w:b/>
          <w:sz w:val="20"/>
        </w:rPr>
      </w:pPr>
      <w:r>
        <w:rPr>
          <w:rFonts w:ascii="Times New Roman" w:hAnsi="Times New Roman"/>
          <w:b/>
          <w:sz w:val="20"/>
        </w:rPr>
        <w:t xml:space="preserve">Financial Position and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Total cash and bank balances as of March 31, 2026 aggregated to US$1.07 billion, including US$124.4 million of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Total debt, net of unamortized deferred financing costs and original issue premiums, was US$6.67 billion at the end of the first quarter of 2026. </w:t>
      </w:r>
    </w:p>
    <w:p>
      <w:pPr>
        <w:pStyle w:val="TextBody"/>
        <w:bidi w:val="0"/>
        <w:spacing w:before="120" w:after="0"/>
        <w:jc w:val="left"/>
        <w:rPr>
          <w:rFonts w:ascii="Times New Roman" w:hAnsi="Times New Roman"/>
          <w:sz w:val="20"/>
        </w:rPr>
      </w:pPr>
      <w:r>
        <w:rPr>
          <w:rFonts w:ascii="Times New Roman" w:hAnsi="Times New Roman"/>
          <w:sz w:val="20"/>
        </w:rPr>
        <w:t xml:space="preserve">During the quarter ended March 31, 2026, MCO Nominee One Limited repaid HK$467.0 million (equivalent to US$59.8 million) principal amount outstanding under its revolving credit facilities, and Studio City Company Limited repaid HK$78.0 million (equivalent to US$10.0 million) principal amount outstanding under its senior secured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Available liquidity, including cash and undrawn revolving credit facilities as of March 31, 2026 was approximately US$2.36 billion. </w:t>
      </w:r>
    </w:p>
    <w:p>
      <w:pPr>
        <w:pStyle w:val="TextBody"/>
        <w:bidi w:val="0"/>
        <w:spacing w:before="120" w:after="0"/>
        <w:jc w:val="left"/>
        <w:rPr>
          <w:rFonts w:ascii="Times New Roman" w:hAnsi="Times New Roman"/>
          <w:sz w:val="20"/>
        </w:rPr>
      </w:pPr>
      <w:r>
        <w:rPr>
          <w:rFonts w:ascii="Times New Roman" w:hAnsi="Times New Roman"/>
          <w:sz w:val="20"/>
        </w:rPr>
        <w:t xml:space="preserve">Capital expenditures for the first quarter of 2026 were US$73.6 million, which mainly included costs related to enhancement projects at City of Dreams in Macau. </w:t>
      </w:r>
    </w:p>
    <w:p>
      <w:pPr>
        <w:pStyle w:val="TextBody"/>
        <w:bidi w:val="0"/>
        <w:spacing w:before="240" w:after="0"/>
        <w:jc w:val="left"/>
        <w:rPr>
          <w:rFonts w:ascii="Times New Roman" w:hAnsi="Times New Roman"/>
          <w:b/>
          <w:sz w:val="20"/>
        </w:rPr>
      </w:pPr>
      <w:r>
        <w:rPr>
          <w:rFonts w:ascii="Times New Roman" w:hAnsi="Times New Roman"/>
          <w:b/>
          <w:sz w:val="20"/>
        </w:rPr>
        <w:t xml:space="preserve">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from January 1, 2026 to April 29, 2026, Melco Resorts repurchased approximately 2.5 million ADSs (representing approximately 7.6 million ordinary shares) from the open market at an aggregate purchase price of approximately US$13.8 million, under its US$500 million share repurchase program which was approved by its board of directors in 2024 (the “2024 Share Repurchase Program”). The Company has remaining authority to repurchase up to approximately US$210 million of ordinary shares under the 2024 Share Repurchase Program as of April 29,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Melco Resorts further announces today that its board of directors has approved a new US$500 million share repurchase program (the “2026 Share Repurchase Program”). The new program is effective immediately and is in addition to the 2024 Share Repurchase Program. </w:t>
      </w:r>
    </w:p>
    <w:p>
      <w:pPr>
        <w:pStyle w:val="TextBody"/>
        <w:bidi w:val="0"/>
        <w:spacing w:before="160" w:after="0"/>
        <w:jc w:val="left"/>
        <w:rPr>
          <w:rFonts w:ascii="Times New Roman" w:hAnsi="Times New Roman"/>
          <w:sz w:val="20"/>
        </w:rPr>
      </w:pPr>
      <w:r>
        <w:rPr>
          <w:rFonts w:ascii="Times New Roman" w:hAnsi="Times New Roman"/>
          <w:sz w:val="20"/>
        </w:rPr>
        <w:t xml:space="preserve">The 2026 Share Repurchase Program permits the Company to purchase up to US$500 million of its ordinary shares and/or ADSs over a three-year period commencing from April 30, 2026. Purchases under this authorization may be made from time to time on the open market at prevailing market prices, including pursuant to a trading plan in accordance with Rule 10b-18 and/or Rule 10b5-1 of the Securities Exchange Act of 1934, and/or in privately-negotiated transactions. The timing of the purchases and the amount of shares and/or ADSs purchased will be determined by the Company’s management based on its evaluation of market conditions, trading prices, applicable securities laws and other factors. The 2026 Share Repurchase Program may be suspended, modified or terminated at any time, and the Company has no obligation to repurchase any amounts under the program. </w:t>
      </w:r>
    </w:p>
    <w:p>
      <w:pPr>
        <w:pStyle w:val="TextBody"/>
        <w:bidi w:val="0"/>
        <w:spacing w:before="200" w:after="0"/>
        <w:jc w:val="left"/>
        <w:rPr>
          <w:rFonts w:ascii="Times New Roman" w:hAnsi="Times New Roman"/>
          <w:b/>
          <w:sz w:val="20"/>
        </w:rPr>
      </w:pPr>
      <w:r>
        <w:rPr>
          <w:rFonts w:ascii="Times New Roman" w:hAnsi="Times New Roman"/>
          <w:b/>
          <w:sz w:val="20"/>
        </w:rPr>
        <w:t xml:space="preserve">Acquisition of Certain Intellectual Property Rights from the Melco International Group </w:t>
      </w:r>
    </w:p>
    <w:p>
      <w:pPr>
        <w:pStyle w:val="TextBody"/>
        <w:bidi w:val="0"/>
        <w:spacing w:before="120" w:after="0"/>
        <w:jc w:val="left"/>
        <w:rPr>
          <w:rFonts w:ascii="Times New Roman" w:hAnsi="Times New Roman"/>
          <w:sz w:val="20"/>
        </w:rPr>
      </w:pPr>
      <w:r>
        <w:rPr>
          <w:rFonts w:ascii="Times New Roman" w:hAnsi="Times New Roman"/>
          <w:sz w:val="20"/>
        </w:rPr>
        <w:t xml:space="preserve">As previously reported, pursuant to a trademark license agreement (the “Trademark License Agreement”), Melco International Development Limited (“Melco International”), as licensor, granted Melco the license to use certain trademarks in certain territories with a term of 10 years commencing from January 1, 2024 (the “Licensed Trademarks”). Under the Trademark License Agreement, Melco has the option to acquire the Licensed Trademarks on terms to be agreed between the parties. </w:t>
      </w:r>
    </w:p>
    <w:p>
      <w:pPr>
        <w:pStyle w:val="TextBody"/>
        <w:bidi w:val="0"/>
        <w:spacing w:before="120" w:after="0"/>
        <w:jc w:val="left"/>
        <w:rPr>
          <w:rFonts w:ascii="Times New Roman" w:hAnsi="Times New Roman"/>
          <w:sz w:val="20"/>
        </w:rPr>
      </w:pPr>
      <w:r>
        <w:rPr>
          <w:rFonts w:ascii="Times New Roman" w:hAnsi="Times New Roman"/>
          <w:sz w:val="20"/>
        </w:rPr>
        <w:t xml:space="preserve">Melco today announces that it has entered into a sale and purchase agreement with Melco International and one of its subsidiaries to acquire the subsidiary of Melco International that owns the Licensed Trademarks and to acquire all other trademarks, domain names and intellectual property rights held by Melco International or any of its subsidiaries (excluding the Company and its subsidiaries) which are now or have in the past been used in the business or operations of the Company or its subsidiaries for cash consideration in the amount of US$375.0 million (the “Transaction”), with US$300.0 million to be paid at signing, which occurred today, and the balance to be paid at the closing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Entry into the sale and purchase agreement in respect of the Transaction was unanimously approved by the disinterested members of the Audit and Risk Committee of the Company. An independent professional valuation services firm was engaged to assist in the evaluation process. </w:t>
      </w:r>
    </w:p>
    <w:p>
      <w:pPr>
        <w:pStyle w:val="TextBody"/>
        <w:bidi w:val="0"/>
        <w:spacing w:before="20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Melco Resorts &amp; Entertainment Limited will hold a conference call to discuss its first quarter 2026 financial results on Thursday, April 30, 2026 at 8:30 a.m. Eastern Time (or 8:30 p.m. Singapore Time). </w:t>
      </w:r>
    </w:p>
    <w:p>
      <w:pPr>
        <w:pStyle w:val="TextBody"/>
        <w:bidi w:val="0"/>
        <w:spacing w:before="120" w:after="0"/>
        <w:jc w:val="left"/>
        <w:rPr>
          <w:rFonts w:ascii="Times New Roman" w:hAnsi="Times New Roman"/>
          <w:sz w:val="20"/>
        </w:rPr>
      </w:pPr>
      <w:r>
        <w:rPr>
          <w:rFonts w:ascii="Times New Roman" w:hAnsi="Times New Roman"/>
          <w:sz w:val="20"/>
        </w:rPr>
        <w:t xml:space="preserve">To join the conference call, please register in advance using the below Online Registration Link. Upon registering, each participant will receive the dial-in numbers, passcode and a unique Personal PIN which can be used to join the conference. </w:t>
      </w:r>
    </w:p>
    <w:p>
      <w:pPr>
        <w:pStyle w:val="TextBody"/>
        <w:bidi w:val="0"/>
        <w:spacing w:before="120" w:after="0"/>
        <w:jc w:val="left"/>
        <w:rPr>
          <w:rFonts w:ascii="Times New Roman" w:hAnsi="Times New Roman"/>
          <w:sz w:val="20"/>
        </w:rPr>
      </w:pPr>
      <w:r>
        <w:rPr>
          <w:rFonts w:ascii="Times New Roman" w:hAnsi="Times New Roman"/>
          <w:sz w:val="20"/>
        </w:rPr>
        <w:t xml:space="preserve">Online Registration Link: </w:t>
      </w:r>
      <w:r>
        <w:rPr>
          <w:rFonts w:ascii="Times New Roman" w:hAnsi="Times New Roman"/>
          <w:sz w:val="20"/>
          <w:u w:val="single"/>
        </w:rPr>
        <w:t>https://s1.c-conf.com/diamondpass/10054138-v260p1.html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 audio webcast and replay of the conference call will also be available at </w:t>
      </w:r>
      <w:r>
        <w:rPr>
          <w:rFonts w:ascii="Times New Roman" w:hAnsi="Times New Roman"/>
          <w:sz w:val="20"/>
          <w:u w:val="single"/>
        </w:rPr>
        <w:t>http://www.melco-resorts.com</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These statements are made under the “safe harbor” provisions of the U.S. Private Securities Litigation Reform Act of 1995. Melco Resorts &amp; Entertainment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the Philippines, the Republic of Cyprus and Sri Lanka,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 </w:t>
      </w:r>
    </w:p>
    <w:p>
      <w:pPr>
        <w:pStyle w:val="TextBody"/>
        <w:bidi w:val="0"/>
        <w:spacing w:before="24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pPr>
            <w:r>
              <w:rPr/>
              <w:t>“</w:t>
            </w:r>
            <w:r>
              <w:rPr>
                <w:rFonts w:ascii="Times New Roman" w:hAnsi="Times New Roman"/>
                <w:sz w:val="20"/>
              </w:rPr>
              <w:t xml:space="preserve">Adjusted EBITDA” is net income/loss before interest, taxes, depreciation, amortization, pre-opening costs, development costs, property charges and other, share-based compensation, payments to the Philippine parties under the cooperative arrangement (the “Philippine Parties”), integrated resort and casino rent and other non-operating income and expenses. “Adjusted Property EBITDA” is net income/loss before interest, taxes, depreciation, amortization, pre-opening costs, development costs, property charges and other, share-based compensation, payments to the Philippine Parties, integrated resort and casino rent, Corporate and Other expenses and other non-operating income and expenses. Adjusted EBITDA and Adjusted Property EBITDA, which are non-GAAP financial measures, are presented as supplemental disclosures because management believes they are widely used to measure the performance, and as a basis for valuation, of gaming companies. Management uses Adjusted EBITDA and Adjusted Property EBITDA to measure the operating performance of our segments and to compare the operating performance of our properties with those of our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also presents Adjusted EBITDA and Adjusted Property EBITDA because they are used by some investors as ways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and Adjusted Property EBITDA should not be considered as alternatives to operating income/loss as indicators of the Company’s performance, as alternatives to cash flows from operating activities as measures of liquidity, or as alternatives to any other measure determined in accordance with U.S. GAAP. Unlike net income/loss, Adjusted EBITDA and Adjusted Property EBITDA do not include depreciation and amortization or interest expense and, therefore, do not reflect current or future capital expenditures or the cost of capital. The Company recognizes these limitations and uses Adjusted EBITDA and Adjusted Property EBITDA as only two of several comparative tools, together with U.S. GAAP measurements, to assist in the evaluation of operating performance. </w:t>
      </w:r>
    </w:p>
    <w:p>
      <w:pPr>
        <w:pStyle w:val="TextBody"/>
        <w:bidi w:val="0"/>
        <w:spacing w:before="120" w:after="0"/>
        <w:jc w:val="left"/>
        <w:rPr>
          <w:rFonts w:ascii="Times New Roman" w:hAnsi="Times New Roman"/>
          <w:sz w:val="20"/>
        </w:rPr>
      </w:pPr>
      <w:r>
        <w:rPr>
          <w:rFonts w:ascii="Times New Roman" w:hAnsi="Times New Roman"/>
          <w:sz w:val="20"/>
        </w:rPr>
        <w:t xml:space="preserve">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or Adjusted Property EBITDA. Also, the Company’s calculation of Adjusted EBITDA and Adjusted Property EBITDA may be different from the calculation methods used by other companies and, therefore, comparability may be limited. The use of Adjusted Property EBITDA and Adjusted EBITDA has material limitations as an analytical tool, as Adjusted Property EBITDA and Adjusted EBITDA do not include all items that impact our net income/loss. Investors are encouraged to review the reconciliation of the historical non-GAAP financial measure to its most directly comparable GAAP financial measure. Reconciliations of Adjusted EBITDA and Adjusted Property EBITDA with the most comparable financial measures calculated and presented in accordance with U.S. GAAP are provided herein immediately following the financial statements included in this press release.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pPr>
            <w:r>
              <w:rPr/>
              <w:t>“</w:t>
            </w:r>
            <w:r>
              <w:rPr>
                <w:rFonts w:ascii="Times New Roman" w:hAnsi="Times New Roman"/>
                <w:sz w:val="20"/>
              </w:rPr>
              <w:t xml:space="preserve">Adjusted net income/loss” is net income/loss before pre-opening costs, development costs and property charges and other, net of noncontrolling interests and taxes calculated using specific tax treatments applicable to the adjustments based on their respective jurisdictions. Adjusted net income/loss attributable to Melco Resorts &amp; Entertainment Limited and adjusted net income/loss attributable to Melco Resorts &amp; Entertainment Limited per share (“EPS”), which are non-GAAP financial measures, are presented as supplemental disclosures because management believes they are widely used to measure the performance, and as a basis for valuation, of gaming companies. These measures are used by management and/or evaluated by some investors, in addition to income/loss and EPS computed in accordance with U.S. GAAP, as an additional basis for assessing period-to-period results of our business. Adjusted net income/loss attributable to Melco Resorts &amp; Entertainment Limited and adjusted net income/loss attributable to Melco Resorts &amp; Entertainment Limited per share may be different from the calculation methods used by other companies and, therefore, comparability may be limited. Reconciliations of adjusted net income/loss attributable to Melco Resorts &amp; Entertainment Limited with the most comparable financial measures calculated and presented in accordance with U.S. GAAP are provided herein immediately following the financial statements included in this press release.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Melco Resorts &amp; Entertainment Limited </w:t>
      </w:r>
    </w:p>
    <w:p>
      <w:pPr>
        <w:pStyle w:val="TextBody"/>
        <w:bidi w:val="0"/>
        <w:spacing w:before="120" w:after="0"/>
        <w:jc w:val="left"/>
        <w:rPr>
          <w:rFonts w:ascii="Times New Roman" w:hAnsi="Times New Roman"/>
          <w:sz w:val="20"/>
        </w:rPr>
      </w:pPr>
      <w:r>
        <w:rPr>
          <w:rFonts w:ascii="Times New Roman" w:hAnsi="Times New Roman"/>
          <w:sz w:val="20"/>
        </w:rPr>
        <w:t>The Company, with its American depositary shares listed on the Nasdaq Global Select Market (Nasdaq: MLCO), is a developer, owner and operator of integrated resort facilities in Asia and Europe. The Company currently operates City of Dreams (</w:t>
      </w:r>
      <w:r>
        <w:rPr>
          <w:rFonts w:ascii="Times New Roman" w:hAnsi="Times New Roman"/>
          <w:sz w:val="20"/>
          <w:u w:val="single"/>
        </w:rPr>
        <w:t>www.cityofdreamsmacau.com</w:t>
      </w:r>
      <w:r>
        <w:rPr>
          <w:rFonts w:ascii="Times New Roman" w:hAnsi="Times New Roman"/>
          <w:sz w:val="20"/>
        </w:rPr>
        <w:t>) and Altira Macau (</w:t>
      </w:r>
      <w:r>
        <w:rPr>
          <w:rFonts w:ascii="Times New Roman" w:hAnsi="Times New Roman"/>
          <w:sz w:val="20"/>
          <w:u w:val="single"/>
        </w:rPr>
        <w:t>www.altiramacau.com</w:t>
      </w:r>
      <w:r>
        <w:rPr>
          <w:rFonts w:ascii="Times New Roman" w:hAnsi="Times New Roman"/>
          <w:sz w:val="20"/>
        </w:rPr>
        <w:t>), integrated resorts located in Cotai and Taipa, Macau, respectively. Its business also includes the Mocha Clubs (</w:t>
      </w:r>
      <w:r>
        <w:rPr>
          <w:rFonts w:ascii="Times New Roman" w:hAnsi="Times New Roman"/>
          <w:sz w:val="20"/>
          <w:u w:val="single"/>
        </w:rPr>
        <w:t>www.mochaclubs.com</w:t>
      </w:r>
      <w:r>
        <w:rPr>
          <w:rFonts w:ascii="Times New Roman" w:hAnsi="Times New Roman"/>
          <w:sz w:val="20"/>
        </w:rPr>
        <w:t>), the only non-casino based operation of electronic gaming machines in Macau. In addition, the Company operates Studio City (</w:t>
      </w:r>
      <w:r>
        <w:rPr>
          <w:rFonts w:ascii="Times New Roman" w:hAnsi="Times New Roman"/>
          <w:sz w:val="20"/>
          <w:u w:val="single"/>
        </w:rPr>
        <w:t>www.studiocity-macau.com</w:t>
      </w:r>
      <w:r>
        <w:rPr>
          <w:rFonts w:ascii="Times New Roman" w:hAnsi="Times New Roman"/>
          <w:sz w:val="20"/>
        </w:rPr>
        <w:t>), a cinematically-themed integrated resort in Cotai, Macau. In the Philippines, the Company operates and manages City of Dreams Manila (</w:t>
      </w:r>
      <w:r>
        <w:rPr>
          <w:rFonts w:ascii="Times New Roman" w:hAnsi="Times New Roman"/>
          <w:sz w:val="20"/>
          <w:u w:val="single"/>
        </w:rPr>
        <w:t>www.cityofdreamsmanila.com</w:t>
      </w:r>
      <w:r>
        <w:rPr>
          <w:rFonts w:ascii="Times New Roman" w:hAnsi="Times New Roman"/>
          <w:sz w:val="20"/>
        </w:rPr>
        <w:t>), an integrated resort in the Entertainment City complex in Manila. In Europe, the Company operates City of Dreams Mediterranean, an integrated resort in Limassol, in the Republic of Cyprus (</w:t>
      </w:r>
      <w:r>
        <w:rPr>
          <w:rFonts w:ascii="Times New Roman" w:hAnsi="Times New Roman"/>
          <w:sz w:val="20"/>
          <w:u w:val="single"/>
        </w:rPr>
        <w:t>www.cityofdreamsmed.com.cy</w:t>
      </w:r>
      <w:r>
        <w:rPr>
          <w:rFonts w:ascii="Times New Roman" w:hAnsi="Times New Roman"/>
          <w:sz w:val="20"/>
        </w:rPr>
        <w:t>) and licensed satellite casinos in other cities in Cyprus (the “Cyprus Casinos”). In South Asia, the Company operates the casino and manages the Nüwa hotel at City of Dreams Sri Lanka (</w:t>
      </w:r>
      <w:r>
        <w:rPr>
          <w:rFonts w:ascii="Times New Roman" w:hAnsi="Times New Roman"/>
          <w:sz w:val="20"/>
          <w:u w:val="single"/>
        </w:rPr>
        <w:t>www.cityofdreamssrilanka.com</w:t>
      </w:r>
      <w:r>
        <w:rPr>
          <w:rFonts w:ascii="Times New Roman" w:hAnsi="Times New Roman"/>
          <w:sz w:val="20"/>
        </w:rPr>
        <w:t xml:space="preserve">), an integrated resort in Colombo, Sri Lanka. For more information about the Company, please visit </w:t>
      </w:r>
      <w:r>
        <w:rPr>
          <w:rFonts w:ascii="Times New Roman" w:hAnsi="Times New Roman"/>
          <w:sz w:val="20"/>
          <w:u w:val="single"/>
        </w:rPr>
        <w:t>www.melco-resorts.com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majority owned by Melco International Development Limited, a company listed on the Main Board of The Stock Exchange of Hong Kong Limited, which is in turn majority owned and led by Mr. Lawrence Ho, who is the Chairman, Executive Director and Chief Executive Officer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For the investment community, please contact: </w:t>
      </w:r>
    </w:p>
    <w:p>
      <w:pPr>
        <w:pStyle w:val="TextBody"/>
        <w:bidi w:val="0"/>
        <w:spacing w:before="0" w:after="0"/>
        <w:jc w:val="left"/>
        <w:rPr>
          <w:rFonts w:ascii="Times New Roman" w:hAnsi="Times New Roman"/>
          <w:sz w:val="20"/>
        </w:rPr>
      </w:pPr>
      <w:r>
        <w:rPr>
          <w:rFonts w:ascii="Times New Roman" w:hAnsi="Times New Roman"/>
          <w:sz w:val="20"/>
        </w:rPr>
        <w:t xml:space="preserve">Jeanny Kim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Group Treasurer Tel: +852 2598 3698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jeannykim@melco-resorts.com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enquiries, please contact: </w:t>
      </w:r>
    </w:p>
    <w:p>
      <w:pPr>
        <w:pStyle w:val="TextBody"/>
        <w:bidi w:val="0"/>
        <w:spacing w:before="0" w:after="0"/>
        <w:jc w:val="left"/>
        <w:rPr>
          <w:rFonts w:ascii="Times New Roman" w:hAnsi="Times New Roman"/>
          <w:sz w:val="20"/>
        </w:rPr>
      </w:pPr>
      <w:r>
        <w:rPr>
          <w:rFonts w:ascii="Times New Roman" w:hAnsi="Times New Roman"/>
          <w:sz w:val="20"/>
        </w:rPr>
        <w:t xml:space="preserve">Chimmy Leung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Communications Tel: +852 3151 3765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chimmyleung@melco-resorts.com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20"/>
        <w:gridCol w:w="162"/>
        <w:gridCol w:w="140"/>
        <w:gridCol w:w="1412"/>
        <w:gridCol w:w="155"/>
        <w:gridCol w:w="106"/>
        <w:gridCol w:w="140"/>
        <w:gridCol w:w="1412"/>
        <w:gridCol w:w="158"/>
      </w:tblGrid>
      <w:tr>
        <w:trPr/>
        <w:tc>
          <w:tcPr>
            <w:tcW w:w="652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2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365" w:type="dxa"/>
            <w:gridSpan w:val="6"/>
            <w:tcBorders/>
            <w:vAlign w:val="bottom"/>
          </w:tcPr>
          <w:p>
            <w:pPr>
              <w:pStyle w:val="TableContents"/>
              <w:bidi w:val="0"/>
              <w:spacing w:before="0" w:after="283"/>
              <w:jc w:val="center"/>
              <w:rPr>
                <w:b/>
              </w:rPr>
            </w:pPr>
            <w:r>
              <w:rPr>
                <w:b/>
              </w:rPr>
              <w:t>Three Months Ended</w:t>
              <w:br/>
              <w:t>March 31,</w:t>
            </w:r>
          </w:p>
        </w:tc>
        <w:tc>
          <w:tcPr>
            <w:tcW w:w="158" w:type="dxa"/>
            <w:tcBorders/>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Casino</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1,150,333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1,024,412</w:t>
            </w:r>
          </w:p>
        </w:tc>
        <w:tc>
          <w:tcPr>
            <w:tcW w:w="158" w:type="dxa"/>
            <w:tcBorders/>
            <w:vAlign w:val="bottom"/>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108,454</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105,139</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65,778</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75,548</w:t>
            </w:r>
          </w:p>
        </w:tc>
        <w:tc>
          <w:tcPr>
            <w:tcW w:w="158" w:type="dxa"/>
            <w:tcBorders/>
            <w:vAlign w:val="bottom"/>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Entertainment, retail and other</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42,149</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27,209</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1,366,714</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1,232,308</w:t>
            </w:r>
          </w:p>
        </w:tc>
        <w:tc>
          <w:tcPr>
            <w:tcW w:w="158" w:type="dxa"/>
            <w:tcBorders/>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 and expenses: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Casino</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(729,070</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(662,657</w:t>
            </w:r>
          </w:p>
        </w:tc>
        <w:tc>
          <w:tcPr>
            <w:tcW w:w="158" w:type="dxa"/>
            <w:tcBorders/>
            <w:vAlign w:val="bottom"/>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(39,365</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(35,625</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(61,913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(61,097</w:t>
            </w:r>
          </w:p>
        </w:tc>
        <w:tc>
          <w:tcPr>
            <w:tcW w:w="158" w:type="dxa"/>
            <w:tcBorders/>
            <w:vAlign w:val="bottom"/>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Entertainment, retail and other</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(23,189</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(13,787</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(179,623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(154,950</w:t>
            </w:r>
          </w:p>
        </w:tc>
        <w:tc>
          <w:tcPr>
            <w:tcW w:w="158" w:type="dxa"/>
            <w:tcBorders/>
            <w:vAlign w:val="bottom"/>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to the Philippine Parties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(9,374</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(9,239</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(291</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(14,041</w:t>
            </w:r>
          </w:p>
        </w:tc>
        <w:tc>
          <w:tcPr>
            <w:tcW w:w="158" w:type="dxa"/>
            <w:tcBorders/>
            <w:vAlign w:val="bottom"/>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(1,022</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(3,424</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land use rights</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(4,976</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(5,002</w:t>
            </w:r>
          </w:p>
        </w:tc>
        <w:tc>
          <w:tcPr>
            <w:tcW w:w="158" w:type="dxa"/>
            <w:tcBorders/>
            <w:vAlign w:val="bottom"/>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(136,088</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(125,421</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(2,828</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(2,195</w:t>
            </w:r>
          </w:p>
        </w:tc>
        <w:tc>
          <w:tcPr>
            <w:tcW w:w="158" w:type="dxa"/>
            <w:tcBorders/>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costs and expenses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(1,187,739</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(1,087,438</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178,975</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144,870</w:t>
            </w:r>
          </w:p>
        </w:tc>
        <w:tc>
          <w:tcPr>
            <w:tcW w:w="158" w:type="dxa"/>
            <w:tcBorders/>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Non-operating income (expenses):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992</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2,876</w:t>
            </w:r>
          </w:p>
        </w:tc>
        <w:tc>
          <w:tcPr>
            <w:tcW w:w="158" w:type="dxa"/>
            <w:tcBorders/>
            <w:vAlign w:val="bottom"/>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 of amounts capitalized</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(111,818</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(119,506</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financing costs</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(1,743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(2,083</w:t>
            </w:r>
          </w:p>
        </w:tc>
        <w:tc>
          <w:tcPr>
            <w:tcW w:w="158" w:type="dxa"/>
            <w:tcBorders/>
            <w:vAlign w:val="bottom"/>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gains, net</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8,839</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5,602</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2,755</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600</w:t>
            </w:r>
          </w:p>
        </w:tc>
        <w:tc>
          <w:tcPr>
            <w:tcW w:w="158" w:type="dxa"/>
            <w:tcBorders/>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non-operating expenses, net</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(100,975</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(112,511</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78,000</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32,359</w:t>
            </w:r>
          </w:p>
        </w:tc>
        <w:tc>
          <w:tcPr>
            <w:tcW w:w="158" w:type="dxa"/>
            <w:tcBorders/>
            <w:vAlign w:val="bottom"/>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(7,120</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(4,612</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70,880</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27,747</w:t>
            </w:r>
          </w:p>
        </w:tc>
        <w:tc>
          <w:tcPr>
            <w:tcW w:w="158" w:type="dxa"/>
            <w:tcBorders/>
            <w:vAlign w:val="bottom"/>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5,952</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4,785</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76,832</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32,532</w:t>
            </w:r>
          </w:p>
        </w:tc>
        <w:tc>
          <w:tcPr>
            <w:tcW w:w="158" w:type="dxa"/>
            <w:tcBorders/>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 per share:</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0.066</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0.026</w:t>
            </w:r>
          </w:p>
        </w:tc>
        <w:tc>
          <w:tcPr>
            <w:tcW w:w="158" w:type="dxa"/>
            <w:tcBorders/>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0.065</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0.026</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 per ADS:</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1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0.197</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0.078</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0.195</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0.078</w:t>
            </w:r>
          </w:p>
        </w:tc>
        <w:tc>
          <w:tcPr>
            <w:tcW w:w="158" w:type="dxa"/>
            <w:tcBorders/>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used in net income attributable to Melco Resorts &amp; Entertainment Limited per share calculation:</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2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1,170,274,674</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1,249,814,229</w:t>
            </w:r>
          </w:p>
        </w:tc>
        <w:tc>
          <w:tcPr>
            <w:tcW w:w="158" w:type="dxa"/>
            <w:tcBorders/>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1,180,395,607</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1,252,942,136</w:t>
            </w:r>
          </w:p>
        </w:tc>
        <w:tc>
          <w:tcPr>
            <w:tcW w:w="158" w:type="dxa"/>
            <w:tcBorders/>
            <w:shd w:fill="CCEEFF" w:val="clear"/>
            <w:vAlign w:val="bottom"/>
          </w:tcPr>
          <w:p>
            <w:pPr>
              <w:pStyle w:val="TableContents"/>
              <w:bidi w:val="0"/>
              <w:spacing w:before="0" w:after="283"/>
              <w:jc w:val="left"/>
              <w:rPr/>
            </w:pPr>
            <w:r>
              <w:rPr/>
              <w:t> </w:t>
            </w:r>
          </w:p>
        </w:tc>
      </w:tr>
      <w:tr>
        <w:trPr/>
        <w:tc>
          <w:tcPr>
            <w:tcW w:w="65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42"/>
        <w:gridCol w:w="165"/>
        <w:gridCol w:w="140"/>
        <w:gridCol w:w="1073"/>
        <w:gridCol w:w="155"/>
        <w:gridCol w:w="111"/>
        <w:gridCol w:w="158"/>
        <w:gridCol w:w="1202"/>
        <w:gridCol w:w="159"/>
      </w:tblGrid>
      <w:tr>
        <w:trPr/>
        <w:tc>
          <w:tcPr>
            <w:tcW w:w="7042"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4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13" w:type="dxa"/>
            <w:gridSpan w:val="2"/>
            <w:tcBorders/>
            <w:vAlign w:val="bottom"/>
          </w:tcPr>
          <w:p>
            <w:pPr>
              <w:pStyle w:val="TableContents"/>
              <w:bidi w:val="0"/>
              <w:spacing w:before="0" w:after="283"/>
              <w:jc w:val="center"/>
              <w:rPr>
                <w:b/>
              </w:rPr>
            </w:pPr>
            <w:r>
              <w:rPr>
                <w:b/>
              </w:rPr>
              <w:t>March 31,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942,366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1,023,199</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138,964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126,405</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affiliated companies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2,193</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887</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36,203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36,919</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77,668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81,790</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1,197,394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1,269,200</w:t>
            </w:r>
          </w:p>
        </w:tc>
        <w:tc>
          <w:tcPr>
            <w:tcW w:w="159" w:type="dxa"/>
            <w:tcBorders/>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5,052,271</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5,157,443</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259,784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270,903</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23,324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23,490</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prepayments, deposits and other assets, net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126,979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129,428</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124,357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125,235</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75,788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76,935</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536,240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545,054</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7,396,137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202" w:type="dxa"/>
            <w:tcBorders/>
            <w:vAlign w:val="bottom"/>
          </w:tcPr>
          <w:p>
            <w:pPr>
              <w:pStyle w:val="TableContents"/>
              <w:bidi w:val="0"/>
              <w:spacing w:before="0" w:after="283"/>
              <w:jc w:val="right"/>
              <w:rPr/>
            </w:pPr>
            <w:r>
              <w:rPr/>
              <w:t>7,597,688</w:t>
            </w:r>
          </w:p>
        </w:tc>
        <w:tc>
          <w:tcPr>
            <w:tcW w:w="159" w:type="dxa"/>
            <w:tcBorders/>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DEFICIT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18,601</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25,910</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978,340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1,076,150</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22,746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29,208</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16,802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18,998</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 current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32,288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33,327</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348,735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Payables to affiliated companies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13,534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719</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1,431,046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1,184,312</w:t>
            </w:r>
          </w:p>
        </w:tc>
        <w:tc>
          <w:tcPr>
            <w:tcW w:w="159" w:type="dxa"/>
            <w:tcBorders/>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6,324,187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6,747,918</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long-term liabilities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283,013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309,799</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35,965</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34,590</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76,233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76,108</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 non-current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140,225</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148,590</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8,290,669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8,501,317</w:t>
            </w:r>
          </w:p>
        </w:tc>
        <w:tc>
          <w:tcPr>
            <w:tcW w:w="159" w:type="dxa"/>
            <w:tcBorders/>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Deficit: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par value $0.01; 7,300,000,000 shares authorized; 1,351,540,382 and 1,351,540,382 shares issued; 1,164,874,654 and 1,172,055,466 shares outstanding, respectively</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13,515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13,515</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shares, at cost; 186,665,728 and 179,484,916 shares, respectively</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(369,989</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(356,835</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2,995,669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2,988,714</w:t>
            </w:r>
          </w:p>
        </w:tc>
        <w:tc>
          <w:tcPr>
            <w:tcW w:w="159"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losses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(107,141</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(63,712</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(3,751,452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(3,828,284</w:t>
            </w:r>
          </w:p>
        </w:tc>
        <w:tc>
          <w:tcPr>
            <w:tcW w:w="159" w:type="dxa"/>
            <w:tcBorders/>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Melco Resorts &amp; Entertainment Limited shareholders’ deficit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(1,219,398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(1,246,602</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324,866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342,973</w:t>
            </w:r>
          </w:p>
        </w:tc>
        <w:tc>
          <w:tcPr>
            <w:tcW w:w="159" w:type="dxa"/>
            <w:tcBorders/>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deficit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(894,532</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(903,629</w:t>
            </w:r>
          </w:p>
        </w:tc>
        <w:tc>
          <w:tcPr>
            <w:tcW w:w="159" w:type="dxa"/>
            <w:tcBorders/>
            <w:shd w:fill="CCEEFF" w:val="clear"/>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deficit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7,396,137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202" w:type="dxa"/>
            <w:tcBorders/>
            <w:vAlign w:val="bottom"/>
          </w:tcPr>
          <w:p>
            <w:pPr>
              <w:pStyle w:val="TableContents"/>
              <w:bidi w:val="0"/>
              <w:spacing w:before="0" w:after="283"/>
              <w:jc w:val="right"/>
              <w:rPr/>
            </w:pPr>
            <w:r>
              <w:rPr/>
              <w:t>7,597,688</w:t>
            </w:r>
          </w:p>
        </w:tc>
        <w:tc>
          <w:tcPr>
            <w:tcW w:w="159" w:type="dxa"/>
            <w:tcBorders/>
            <w:vAlign w:val="bottom"/>
          </w:tcPr>
          <w:p>
            <w:pPr>
              <w:pStyle w:val="TableContents"/>
              <w:bidi w:val="0"/>
              <w:spacing w:before="0" w:after="283"/>
              <w:jc w:val="left"/>
              <w:rPr/>
            </w:pPr>
            <w:r>
              <w:rPr/>
              <w:t> </w:t>
            </w:r>
          </w:p>
        </w:tc>
      </w:tr>
      <w:tr>
        <w:trPr/>
        <w:tc>
          <w:tcPr>
            <w:tcW w:w="704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Income Attributable to Melco Resorts &amp; Entertainment Limited to </w:t>
      </w:r>
    </w:p>
    <w:p>
      <w:pPr>
        <w:pStyle w:val="TextBody"/>
        <w:bidi w:val="0"/>
        <w:spacing w:before="0" w:after="0"/>
        <w:jc w:val="center"/>
        <w:rPr>
          <w:rFonts w:ascii="Times New Roman" w:hAnsi="Times New Roman"/>
          <w:b/>
          <w:sz w:val="20"/>
        </w:rPr>
      </w:pPr>
      <w:r>
        <w:rPr>
          <w:rFonts w:ascii="Times New Roman" w:hAnsi="Times New Roman"/>
          <w:b/>
          <w:sz w:val="20"/>
        </w:rPr>
        <w:t xml:space="preserve">Adjusted Net Income Attributable to Melco Resorts &amp; Entertainment Limited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62"/>
        <w:gridCol w:w="437"/>
        <w:gridCol w:w="140"/>
        <w:gridCol w:w="1413"/>
        <w:gridCol w:w="155"/>
        <w:gridCol w:w="386"/>
        <w:gridCol w:w="140"/>
        <w:gridCol w:w="1413"/>
        <w:gridCol w:w="159"/>
      </w:tblGrid>
      <w:tr>
        <w:trPr/>
        <w:tc>
          <w:tcPr>
            <w:tcW w:w="5962"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62"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647" w:type="dxa"/>
            <w:gridSpan w:val="6"/>
            <w:tcBorders/>
            <w:vAlign w:val="bottom"/>
          </w:tcPr>
          <w:p>
            <w:pPr>
              <w:pStyle w:val="TableContents"/>
              <w:bidi w:val="0"/>
              <w:spacing w:before="0" w:after="283"/>
              <w:jc w:val="center"/>
              <w:rPr>
                <w:b/>
              </w:rPr>
            </w:pPr>
            <w:r>
              <w:rPr>
                <w:b/>
              </w:rPr>
              <w:t>Three Months Ended</w:t>
              <w:br/>
              <w:t>March 31,</w:t>
            </w:r>
          </w:p>
        </w:tc>
        <w:tc>
          <w:tcPr>
            <w:tcW w:w="159" w:type="dxa"/>
            <w:tcBorders/>
            <w:vAlign w:val="bottom"/>
          </w:tcPr>
          <w:p>
            <w:pPr>
              <w:pStyle w:val="TableContents"/>
              <w:bidi w:val="0"/>
              <w:spacing w:before="0" w:after="283"/>
              <w:jc w:val="left"/>
              <w:rPr/>
            </w:pPr>
            <w:r>
              <w:rPr/>
              <w:t> </w:t>
            </w:r>
          </w:p>
        </w:tc>
      </w:tr>
      <w:tr>
        <w:trPr/>
        <w:tc>
          <w:tcPr>
            <w:tcW w:w="5962"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5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w:t>
            </w:r>
          </w:p>
        </w:tc>
        <w:tc>
          <w:tcPr>
            <w:tcW w:w="4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3" w:type="dxa"/>
            <w:tcBorders/>
            <w:shd w:fill="CCEEFF" w:val="clear"/>
            <w:vAlign w:val="bottom"/>
          </w:tcPr>
          <w:p>
            <w:pPr>
              <w:pStyle w:val="TableContents"/>
              <w:bidi w:val="0"/>
              <w:spacing w:before="0" w:after="283"/>
              <w:jc w:val="right"/>
              <w:rPr/>
            </w:pPr>
            <w:r>
              <w:rPr/>
              <w:t>76,832</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3" w:type="dxa"/>
            <w:tcBorders/>
            <w:shd w:fill="CCEEFF" w:val="clear"/>
            <w:vAlign w:val="bottom"/>
          </w:tcPr>
          <w:p>
            <w:pPr>
              <w:pStyle w:val="TableContents"/>
              <w:bidi w:val="0"/>
              <w:spacing w:before="0" w:after="283"/>
              <w:jc w:val="right"/>
              <w:rPr/>
            </w:pPr>
            <w:r>
              <w:rPr/>
              <w:t>32,532</w:t>
            </w:r>
          </w:p>
        </w:tc>
        <w:tc>
          <w:tcPr>
            <w:tcW w:w="159" w:type="dxa"/>
            <w:tcBorders/>
            <w:shd w:fill="CCEEFF" w:val="clear"/>
            <w:vAlign w:val="bottom"/>
          </w:tcPr>
          <w:p>
            <w:pPr>
              <w:pStyle w:val="TableContents"/>
              <w:bidi w:val="0"/>
              <w:spacing w:before="0" w:after="283"/>
              <w:jc w:val="left"/>
              <w:rPr/>
            </w:pPr>
            <w:r>
              <w:rPr/>
              <w:t> </w:t>
            </w:r>
          </w:p>
        </w:tc>
      </w:tr>
      <w:tr>
        <w:trPr/>
        <w:tc>
          <w:tcPr>
            <w:tcW w:w="5962"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291</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14,041</w:t>
            </w:r>
          </w:p>
        </w:tc>
        <w:tc>
          <w:tcPr>
            <w:tcW w:w="159" w:type="dxa"/>
            <w:tcBorders/>
            <w:vAlign w:val="bottom"/>
          </w:tcPr>
          <w:p>
            <w:pPr>
              <w:pStyle w:val="TableContents"/>
              <w:bidi w:val="0"/>
              <w:spacing w:before="0" w:after="283"/>
              <w:jc w:val="left"/>
              <w:rPr/>
            </w:pPr>
            <w:r>
              <w:rPr/>
              <w:t> </w:t>
            </w:r>
          </w:p>
        </w:tc>
      </w:tr>
      <w:tr>
        <w:trPr/>
        <w:tc>
          <w:tcPr>
            <w:tcW w:w="5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4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1,022</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3,424</w:t>
            </w:r>
          </w:p>
        </w:tc>
        <w:tc>
          <w:tcPr>
            <w:tcW w:w="159" w:type="dxa"/>
            <w:tcBorders/>
            <w:shd w:fill="CCEEFF" w:val="clear"/>
            <w:vAlign w:val="bottom"/>
          </w:tcPr>
          <w:p>
            <w:pPr>
              <w:pStyle w:val="TableContents"/>
              <w:bidi w:val="0"/>
              <w:spacing w:before="0" w:after="283"/>
              <w:jc w:val="left"/>
              <w:rPr/>
            </w:pPr>
            <w:r>
              <w:rPr/>
              <w:t> </w:t>
            </w:r>
          </w:p>
        </w:tc>
      </w:tr>
      <w:tr>
        <w:trPr/>
        <w:tc>
          <w:tcPr>
            <w:tcW w:w="5962"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2,828</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2,195</w:t>
            </w:r>
          </w:p>
        </w:tc>
        <w:tc>
          <w:tcPr>
            <w:tcW w:w="159" w:type="dxa"/>
            <w:tcBorders/>
            <w:vAlign w:val="bottom"/>
          </w:tcPr>
          <w:p>
            <w:pPr>
              <w:pStyle w:val="TableContents"/>
              <w:bidi w:val="0"/>
              <w:spacing w:before="0" w:after="283"/>
              <w:jc w:val="left"/>
              <w:rPr/>
            </w:pPr>
            <w:r>
              <w:rPr/>
              <w:t> </w:t>
            </w:r>
          </w:p>
        </w:tc>
      </w:tr>
      <w:tr>
        <w:trPr/>
        <w:tc>
          <w:tcPr>
            <w:tcW w:w="5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impact on adjustments</w:t>
            </w:r>
          </w:p>
        </w:tc>
        <w:tc>
          <w:tcPr>
            <w:tcW w:w="4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(243</w:t>
            </w:r>
          </w:p>
        </w:tc>
        <w:tc>
          <w:tcPr>
            <w:tcW w:w="159" w:type="dxa"/>
            <w:tcBorders/>
            <w:shd w:fill="CCEEFF" w:val="clear"/>
            <w:vAlign w:val="bottom"/>
          </w:tcPr>
          <w:p>
            <w:pPr>
              <w:pStyle w:val="TableContents"/>
              <w:bidi w:val="0"/>
              <w:spacing w:before="0" w:after="283"/>
              <w:jc w:val="left"/>
              <w:rPr/>
            </w:pPr>
            <w:r>
              <w:rPr/>
              <w:t>) </w:t>
            </w:r>
          </w:p>
        </w:tc>
      </w:tr>
      <w:tr>
        <w:trPr/>
        <w:tc>
          <w:tcPr>
            <w:tcW w:w="5962"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 impact on adjustments</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(105</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(864</w:t>
            </w:r>
          </w:p>
        </w:tc>
        <w:tc>
          <w:tcPr>
            <w:tcW w:w="159" w:type="dxa"/>
            <w:tcBorders/>
            <w:vAlign w:val="bottom"/>
          </w:tcPr>
          <w:p>
            <w:pPr>
              <w:pStyle w:val="TableContents"/>
              <w:bidi w:val="0"/>
              <w:spacing w:before="0" w:after="283"/>
              <w:jc w:val="left"/>
              <w:rPr/>
            </w:pPr>
            <w:r>
              <w:rPr/>
              <w:t>) </w:t>
            </w:r>
          </w:p>
        </w:tc>
      </w:tr>
      <w:tr>
        <w:trPr/>
        <w:tc>
          <w:tcPr>
            <w:tcW w:w="5962"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Melco Resorts &amp; Entertainment Limited</w:t>
            </w:r>
          </w:p>
        </w:tc>
        <w:tc>
          <w:tcPr>
            <w:tcW w:w="4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3" w:type="dxa"/>
            <w:tcBorders/>
            <w:shd w:fill="CCEEFF" w:val="clear"/>
            <w:vAlign w:val="bottom"/>
          </w:tcPr>
          <w:p>
            <w:pPr>
              <w:pStyle w:val="TableContents"/>
              <w:bidi w:val="0"/>
              <w:spacing w:before="0" w:after="283"/>
              <w:jc w:val="right"/>
              <w:rPr/>
            </w:pPr>
            <w:r>
              <w:rPr/>
              <w:t>80,859</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3" w:type="dxa"/>
            <w:tcBorders/>
            <w:shd w:fill="CCEEFF" w:val="clear"/>
            <w:vAlign w:val="bottom"/>
          </w:tcPr>
          <w:p>
            <w:pPr>
              <w:pStyle w:val="TableContents"/>
              <w:bidi w:val="0"/>
              <w:spacing w:before="0" w:after="283"/>
              <w:jc w:val="right"/>
              <w:rPr/>
            </w:pPr>
            <w:r>
              <w:rPr/>
              <w:t>51,085</w:t>
            </w:r>
          </w:p>
        </w:tc>
        <w:tc>
          <w:tcPr>
            <w:tcW w:w="159" w:type="dxa"/>
            <w:tcBorders/>
            <w:shd w:fill="CCEEFF" w:val="clear"/>
            <w:vAlign w:val="bottom"/>
          </w:tcPr>
          <w:p>
            <w:pPr>
              <w:pStyle w:val="TableContents"/>
              <w:bidi w:val="0"/>
              <w:spacing w:before="0" w:after="283"/>
              <w:jc w:val="left"/>
              <w:rPr/>
            </w:pPr>
            <w:r>
              <w:rPr/>
              <w:t> </w:t>
            </w:r>
          </w:p>
        </w:tc>
      </w:tr>
      <w:tr>
        <w:trPr/>
        <w:tc>
          <w:tcPr>
            <w:tcW w:w="5962"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2"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Melco Resorts &amp; Entertainment Limited per share:</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1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3" w:type="dxa"/>
            <w:tcBorders/>
            <w:shd w:fill="CCEEFF" w:val="clear"/>
            <w:vAlign w:val="bottom"/>
          </w:tcPr>
          <w:p>
            <w:pPr>
              <w:pStyle w:val="TableContents"/>
              <w:bidi w:val="0"/>
              <w:spacing w:before="0" w:after="283"/>
              <w:jc w:val="right"/>
              <w:rPr/>
            </w:pPr>
            <w:r>
              <w:rPr/>
              <w:t>0.069</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3" w:type="dxa"/>
            <w:tcBorders/>
            <w:shd w:fill="CCEEFF" w:val="clear"/>
            <w:vAlign w:val="bottom"/>
          </w:tcPr>
          <w:p>
            <w:pPr>
              <w:pStyle w:val="TableContents"/>
              <w:bidi w:val="0"/>
              <w:spacing w:before="0" w:after="283"/>
              <w:jc w:val="right"/>
              <w:rPr/>
            </w:pPr>
            <w:r>
              <w:rPr/>
              <w:t>0.041</w:t>
            </w:r>
          </w:p>
        </w:tc>
        <w:tc>
          <w:tcPr>
            <w:tcW w:w="159" w:type="dxa"/>
            <w:tcBorders/>
            <w:shd w:fill="CCEEFF" w:val="clear"/>
            <w:vAlign w:val="bottom"/>
          </w:tcPr>
          <w:p>
            <w:pPr>
              <w:pStyle w:val="TableContents"/>
              <w:bidi w:val="0"/>
              <w:spacing w:before="0" w:after="283"/>
              <w:jc w:val="left"/>
              <w:rPr/>
            </w:pPr>
            <w:r>
              <w:rPr/>
              <w:t> </w:t>
            </w:r>
          </w:p>
        </w:tc>
      </w:tr>
      <w:tr>
        <w:trPr/>
        <w:tc>
          <w:tcPr>
            <w:tcW w:w="5962"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2"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3" w:type="dxa"/>
            <w:tcBorders/>
            <w:vAlign w:val="bottom"/>
          </w:tcPr>
          <w:p>
            <w:pPr>
              <w:pStyle w:val="TableContents"/>
              <w:bidi w:val="0"/>
              <w:spacing w:before="0" w:after="283"/>
              <w:jc w:val="right"/>
              <w:rPr/>
            </w:pPr>
            <w:r>
              <w:rPr/>
              <w:t>0.069</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3" w:type="dxa"/>
            <w:tcBorders/>
            <w:vAlign w:val="bottom"/>
          </w:tcPr>
          <w:p>
            <w:pPr>
              <w:pStyle w:val="TableContents"/>
              <w:bidi w:val="0"/>
              <w:spacing w:before="0" w:after="283"/>
              <w:jc w:val="right"/>
              <w:rPr/>
            </w:pPr>
            <w:r>
              <w:rPr/>
              <w:t>0.041</w:t>
            </w:r>
          </w:p>
        </w:tc>
        <w:tc>
          <w:tcPr>
            <w:tcW w:w="159" w:type="dxa"/>
            <w:tcBorders/>
            <w:vAlign w:val="bottom"/>
          </w:tcPr>
          <w:p>
            <w:pPr>
              <w:pStyle w:val="TableContents"/>
              <w:bidi w:val="0"/>
              <w:spacing w:before="0" w:after="283"/>
              <w:jc w:val="left"/>
              <w:rPr/>
            </w:pPr>
            <w:r>
              <w:rPr/>
              <w:t> </w:t>
            </w:r>
          </w:p>
        </w:tc>
      </w:tr>
      <w:tr>
        <w:trPr/>
        <w:tc>
          <w:tcPr>
            <w:tcW w:w="5962"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Melco Resorts &amp; Entertainment Limited per ADS:</w:t>
            </w:r>
          </w:p>
        </w:tc>
        <w:tc>
          <w:tcPr>
            <w:tcW w:w="4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62"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3" w:type="dxa"/>
            <w:tcBorders/>
            <w:vAlign w:val="bottom"/>
          </w:tcPr>
          <w:p>
            <w:pPr>
              <w:pStyle w:val="TableContents"/>
              <w:bidi w:val="0"/>
              <w:spacing w:before="0" w:after="283"/>
              <w:jc w:val="right"/>
              <w:rPr/>
            </w:pPr>
            <w:r>
              <w:rPr/>
              <w:t>0.207</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3" w:type="dxa"/>
            <w:tcBorders/>
            <w:vAlign w:val="bottom"/>
          </w:tcPr>
          <w:p>
            <w:pPr>
              <w:pStyle w:val="TableContents"/>
              <w:bidi w:val="0"/>
              <w:spacing w:before="0" w:after="283"/>
              <w:jc w:val="right"/>
              <w:rPr/>
            </w:pPr>
            <w:r>
              <w:rPr/>
              <w:t>0.123</w:t>
            </w:r>
          </w:p>
        </w:tc>
        <w:tc>
          <w:tcPr>
            <w:tcW w:w="159" w:type="dxa"/>
            <w:tcBorders/>
            <w:vAlign w:val="bottom"/>
          </w:tcPr>
          <w:p>
            <w:pPr>
              <w:pStyle w:val="TableContents"/>
              <w:bidi w:val="0"/>
              <w:spacing w:before="0" w:after="283"/>
              <w:jc w:val="left"/>
              <w:rPr/>
            </w:pPr>
            <w:r>
              <w:rPr/>
              <w:t> </w:t>
            </w:r>
          </w:p>
        </w:tc>
      </w:tr>
      <w:tr>
        <w:trPr/>
        <w:tc>
          <w:tcPr>
            <w:tcW w:w="5962"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3" w:type="dxa"/>
            <w:tcBorders/>
            <w:shd w:fill="CCEEFF" w:val="clear"/>
            <w:vAlign w:val="bottom"/>
          </w:tcPr>
          <w:p>
            <w:pPr>
              <w:pStyle w:val="TableContents"/>
              <w:bidi w:val="0"/>
              <w:spacing w:before="0" w:after="283"/>
              <w:jc w:val="right"/>
              <w:rPr/>
            </w:pPr>
            <w:r>
              <w:rPr/>
              <w:t>0.206</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3" w:type="dxa"/>
            <w:tcBorders/>
            <w:shd w:fill="CCEEFF" w:val="clear"/>
            <w:vAlign w:val="bottom"/>
          </w:tcPr>
          <w:p>
            <w:pPr>
              <w:pStyle w:val="TableContents"/>
              <w:bidi w:val="0"/>
              <w:spacing w:before="0" w:after="283"/>
              <w:jc w:val="right"/>
              <w:rPr/>
            </w:pPr>
            <w:r>
              <w:rPr/>
              <w:t>0.122</w:t>
            </w:r>
          </w:p>
        </w:tc>
        <w:tc>
          <w:tcPr>
            <w:tcW w:w="159" w:type="dxa"/>
            <w:tcBorders/>
            <w:shd w:fill="CCEEFF" w:val="clear"/>
            <w:vAlign w:val="bottom"/>
          </w:tcPr>
          <w:p>
            <w:pPr>
              <w:pStyle w:val="TableContents"/>
              <w:bidi w:val="0"/>
              <w:spacing w:before="0" w:after="283"/>
              <w:jc w:val="left"/>
              <w:rPr/>
            </w:pPr>
            <w:r>
              <w:rPr/>
              <w:t> </w:t>
            </w:r>
          </w:p>
        </w:tc>
      </w:tr>
      <w:tr>
        <w:trPr/>
        <w:tc>
          <w:tcPr>
            <w:tcW w:w="5962"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2"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used in adjusted net income attributable to Melco Resorts &amp; Entertainment Limited per share calculation:</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1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1,170,274,674</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1,249,814,229</w:t>
            </w:r>
          </w:p>
        </w:tc>
        <w:tc>
          <w:tcPr>
            <w:tcW w:w="159" w:type="dxa"/>
            <w:tcBorders/>
            <w:shd w:fill="CCEEFF" w:val="clear"/>
            <w:vAlign w:val="bottom"/>
          </w:tcPr>
          <w:p>
            <w:pPr>
              <w:pStyle w:val="TableContents"/>
              <w:bidi w:val="0"/>
              <w:spacing w:before="0" w:after="283"/>
              <w:jc w:val="left"/>
              <w:rPr/>
            </w:pPr>
            <w:r>
              <w:rPr/>
              <w:t> </w:t>
            </w:r>
          </w:p>
        </w:tc>
      </w:tr>
      <w:tr>
        <w:trPr/>
        <w:tc>
          <w:tcPr>
            <w:tcW w:w="5962"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2"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1,180,395,607</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1,252,942,136</w:t>
            </w:r>
          </w:p>
        </w:tc>
        <w:tc>
          <w:tcPr>
            <w:tcW w:w="159" w:type="dxa"/>
            <w:tcBorders/>
            <w:vAlign w:val="bottom"/>
          </w:tcPr>
          <w:p>
            <w:pPr>
              <w:pStyle w:val="TableContents"/>
              <w:bidi w:val="0"/>
              <w:spacing w:before="0" w:after="283"/>
              <w:jc w:val="left"/>
              <w:rPr/>
            </w:pPr>
            <w:r>
              <w:rPr/>
              <w:t> </w:t>
            </w:r>
          </w:p>
        </w:tc>
      </w:tr>
      <w:tr>
        <w:trPr/>
        <w:tc>
          <w:tcPr>
            <w:tcW w:w="5962"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Operating Income to Adjusted EBITDA and Adjusted Property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2595" w:type="dxa"/>
        <w:jc w:val="center"/>
        <w:tblInd w:w="0" w:type="dxa"/>
        <w:tblLayout w:type="fixed"/>
        <w:tblCellMar>
          <w:top w:w="0" w:type="dxa"/>
          <w:left w:w="0" w:type="dxa"/>
          <w:bottom w:w="0" w:type="dxa"/>
          <w:right w:w="0" w:type="dxa"/>
        </w:tblCellMar>
      </w:tblPr>
      <w:tblGrid>
        <w:gridCol w:w="1160"/>
        <w:gridCol w:w="60"/>
        <w:gridCol w:w="140"/>
        <w:gridCol w:w="800"/>
        <w:gridCol w:w="155"/>
        <w:gridCol w:w="60"/>
        <w:gridCol w:w="140"/>
        <w:gridCol w:w="800"/>
        <w:gridCol w:w="60"/>
        <w:gridCol w:w="60"/>
        <w:gridCol w:w="140"/>
        <w:gridCol w:w="635"/>
        <w:gridCol w:w="155"/>
        <w:gridCol w:w="60"/>
        <w:gridCol w:w="235"/>
        <w:gridCol w:w="940"/>
        <w:gridCol w:w="60"/>
        <w:gridCol w:w="60"/>
        <w:gridCol w:w="140"/>
        <w:gridCol w:w="680"/>
        <w:gridCol w:w="60"/>
        <w:gridCol w:w="60"/>
        <w:gridCol w:w="267"/>
        <w:gridCol w:w="1298"/>
        <w:gridCol w:w="155"/>
        <w:gridCol w:w="60"/>
        <w:gridCol w:w="252"/>
        <w:gridCol w:w="1148"/>
        <w:gridCol w:w="155"/>
        <w:gridCol w:w="60"/>
        <w:gridCol w:w="206"/>
        <w:gridCol w:w="1119"/>
        <w:gridCol w:w="155"/>
        <w:gridCol w:w="60"/>
        <w:gridCol w:w="140"/>
        <w:gridCol w:w="800"/>
        <w:gridCol w:w="60"/>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5"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 2026</w:t>
            </w:r>
          </w:p>
        </w:tc>
        <w:tc>
          <w:tcPr>
            <w:tcW w:w="60"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Studio</w:t>
              <w:br/>
              <w:t>City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Altira</w:t>
              <w:br/>
              <w:t>Macau</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Mocha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br/>
              <w:t>Manila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 Dreams</w:t>
              <w:br/>
              <w:t>Mediterranean</w:t>
              <w:br/>
              <w:t>and 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Operations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w:t>
              <w:br/>
              <w:t>and 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155,680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55,129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1,078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3,105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21,396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(4,613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(4,777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(48,023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178,975</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the Philippine Parties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9,374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9,374</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Integrated resort and casino rent (5)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1,536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1,792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3,328</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291</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1,022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1,022</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56,458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55,994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1,051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4,780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13,472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3,208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5,331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141,064</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4,142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6,566</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2,092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2,828</w:t>
            </w:r>
          </w:p>
        </w:tc>
        <w:tc>
          <w:tcPr>
            <w:tcW w:w="60"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214,357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111,736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4,054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4,211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37,385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8,954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(37,528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343,448</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and Other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37,528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37,528</w:t>
            </w:r>
          </w:p>
        </w:tc>
        <w:tc>
          <w:tcPr>
            <w:tcW w:w="60"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Property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214,357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111,736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4,054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4,211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37,385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8,954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380,976</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rHeight w:val="240" w:hRule="atLeast"/>
        </w:trPr>
        <w:tc>
          <w:tcPr>
            <w:tcW w:w="1160" w:type="dxa"/>
            <w:tcBorders/>
            <w:vAlign w:val="center"/>
          </w:tcPr>
          <w:p>
            <w:pPr>
              <w:pStyle w:val="TableContents"/>
              <w:bidi w:val="0"/>
              <w:spacing w:before="0" w:after="283"/>
              <w:jc w:val="left"/>
              <w:rPr>
                <w:sz w:val="4"/>
                <w:szCs w:val="4"/>
              </w:rPr>
            </w:pPr>
            <w:r>
              <w:rPr>
                <w:sz w:val="4"/>
                <w:szCs w:val="4"/>
              </w:rPr>
            </w:r>
          </w:p>
        </w:tc>
        <w:tc>
          <w:tcPr>
            <w:tcW w:w="11435" w:type="dxa"/>
            <w:gridSpan w:val="36"/>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5"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 2025</w:t>
            </w:r>
          </w:p>
        </w:tc>
        <w:tc>
          <w:tcPr>
            <w:tcW w:w="60"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Studio</w:t>
              <w:br/>
              <w:t>City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Altira</w:t>
              <w:br/>
              <w:t>Macau</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Mocha and</w:t>
              <w:br/>
              <w:t>Other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br/>
              <w:t>Manila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 Dreams</w:t>
              <w:br/>
              <w:t>Mediterranean</w:t>
              <w:br/>
              <w:t>and 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Operations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w:t>
              <w:br/>
              <w:t>and Other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137,492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38,126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(2,443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5,720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13,524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(472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(5,449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(41,628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144,870</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the Philippine Parties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9,239</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Integrated resort and casino rent (5)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1,791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3,475</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 (6)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8,476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3,619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12,250</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3,424</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49,539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56,748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5,358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11,998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5,226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130,423</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4,687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6,790</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1,129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2,195</w:t>
            </w:r>
          </w:p>
        </w:tc>
        <w:tc>
          <w:tcPr>
            <w:tcW w:w="60"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195,908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97,322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6,791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30,055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11,612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(28,304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312,666</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and Other expenses (4)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28,304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28,304</w:t>
            </w:r>
          </w:p>
        </w:tc>
        <w:tc>
          <w:tcPr>
            <w:tcW w:w="60"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Property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195,908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97,322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6,791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30,055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11,612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340,970</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Mocha and Other segment included the operation of the Grand Dragon Casino before its closure and was changed to Mocha segment effective on September 23,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from August 1, 2025, the Company’s casino operations at City of Dreams Sri Lanka, which commenced business on August 1, 2025, and provision of management services to operate certain floors of the hotel tower at City of Dreams Sri Lanka which opened to the public on July 15, 2025 were previously reported under the Corporate and Other category, has been included in the Other Operations segment for the period ended March 31, 2025. City of Dreams Sri Lanka is an integrated resort in Colombo, Sri Lanka, developed by a subsidiary of John Keells Holdings PLC, an independent third party.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Integrated resort and casino rent represents land rent and variable lease costs to Belle Corporation and casino rent to a subsidiary of John Keells Holdings PLC.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amounts of pre-opening costs are grouped and reported under the line item Integrated resort and casino rent.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Income Attributable to Melco Resorts &amp; Entertainment Limited to </w:t>
      </w:r>
    </w:p>
    <w:p>
      <w:pPr>
        <w:pStyle w:val="TextBody"/>
        <w:bidi w:val="0"/>
        <w:spacing w:before="0" w:after="0"/>
        <w:jc w:val="center"/>
        <w:rPr>
          <w:rFonts w:ascii="Times New Roman" w:hAnsi="Times New Roman"/>
          <w:b/>
          <w:sz w:val="20"/>
        </w:rPr>
      </w:pPr>
      <w:r>
        <w:rPr>
          <w:rFonts w:ascii="Times New Roman" w:hAnsi="Times New Roman"/>
          <w:b/>
          <w:sz w:val="20"/>
        </w:rPr>
        <w:t xml:space="preserve">Adjusted EBITDA and Adjusted Property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80"/>
        <w:gridCol w:w="225"/>
        <w:gridCol w:w="147"/>
        <w:gridCol w:w="847"/>
        <w:gridCol w:w="163"/>
        <w:gridCol w:w="187"/>
        <w:gridCol w:w="147"/>
        <w:gridCol w:w="850"/>
        <w:gridCol w:w="159"/>
      </w:tblGrid>
      <w:tr>
        <w:trPr/>
        <w:tc>
          <w:tcPr>
            <w:tcW w:w="748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8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341" w:type="dxa"/>
            <w:gridSpan w:val="6"/>
            <w:tcBorders/>
            <w:vAlign w:val="bottom"/>
          </w:tcPr>
          <w:p>
            <w:pPr>
              <w:pStyle w:val="TableContents"/>
              <w:bidi w:val="0"/>
              <w:spacing w:before="0" w:after="283"/>
              <w:jc w:val="center"/>
              <w:rPr>
                <w:b/>
              </w:rPr>
            </w:pPr>
            <w:r>
              <w:rPr>
                <w:b/>
              </w:rPr>
              <w:t>Three Months Ended</w:t>
              <w:br/>
              <w:t>March 31,</w:t>
            </w:r>
          </w:p>
        </w:tc>
        <w:tc>
          <w:tcPr>
            <w:tcW w:w="159" w:type="dxa"/>
            <w:tcBorders/>
            <w:vAlign w:val="bottom"/>
          </w:tcPr>
          <w:p>
            <w:pPr>
              <w:pStyle w:val="TableContents"/>
              <w:bidi w:val="0"/>
              <w:spacing w:before="0" w:after="283"/>
              <w:jc w:val="left"/>
              <w:rPr/>
            </w:pPr>
            <w:r>
              <w:rPr/>
              <w:t> </w:t>
            </w:r>
          </w:p>
        </w:tc>
      </w:tr>
      <w:tr>
        <w:trPr/>
        <w:tc>
          <w:tcPr>
            <w:tcW w:w="748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7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w:t>
            </w:r>
          </w:p>
        </w:tc>
        <w:tc>
          <w:tcPr>
            <w:tcW w:w="2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76,832</w:t>
            </w:r>
          </w:p>
        </w:tc>
        <w:tc>
          <w:tcPr>
            <w:tcW w:w="16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32,532</w:t>
            </w:r>
          </w:p>
        </w:tc>
        <w:tc>
          <w:tcPr>
            <w:tcW w:w="159" w:type="dxa"/>
            <w:tcBorders/>
            <w:shd w:fill="CCEEFF" w:val="clear"/>
            <w:vAlign w:val="bottom"/>
          </w:tcPr>
          <w:p>
            <w:pPr>
              <w:pStyle w:val="TableContents"/>
              <w:bidi w:val="0"/>
              <w:spacing w:before="0" w:after="283"/>
              <w:jc w:val="left"/>
              <w:rPr/>
            </w:pPr>
            <w:r>
              <w:rPr/>
              <w:t> </w:t>
            </w:r>
          </w:p>
        </w:tc>
      </w:tr>
      <w:tr>
        <w:trPr/>
        <w:tc>
          <w:tcPr>
            <w:tcW w:w="7480"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22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(5,952</w:t>
            </w:r>
          </w:p>
        </w:tc>
        <w:tc>
          <w:tcPr>
            <w:tcW w:w="16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(4,785</w:t>
            </w:r>
          </w:p>
        </w:tc>
        <w:tc>
          <w:tcPr>
            <w:tcW w:w="159" w:type="dxa"/>
            <w:tcBorders/>
            <w:vAlign w:val="bottom"/>
          </w:tcPr>
          <w:p>
            <w:pPr>
              <w:pStyle w:val="TableContents"/>
              <w:bidi w:val="0"/>
              <w:spacing w:before="0" w:after="283"/>
              <w:jc w:val="left"/>
              <w:rPr/>
            </w:pPr>
            <w:r>
              <w:rPr/>
              <w:t>) </w:t>
            </w:r>
          </w:p>
        </w:tc>
      </w:tr>
      <w:tr>
        <w:trPr/>
        <w:tc>
          <w:tcPr>
            <w:tcW w:w="7480"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70,880</w:t>
            </w:r>
          </w:p>
        </w:tc>
        <w:tc>
          <w:tcPr>
            <w:tcW w:w="16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27,747</w:t>
            </w:r>
          </w:p>
        </w:tc>
        <w:tc>
          <w:tcPr>
            <w:tcW w:w="159" w:type="dxa"/>
            <w:tcBorders/>
            <w:shd w:fill="CCEEFF" w:val="clear"/>
            <w:vAlign w:val="bottom"/>
          </w:tcPr>
          <w:p>
            <w:pPr>
              <w:pStyle w:val="TableContents"/>
              <w:bidi w:val="0"/>
              <w:spacing w:before="0" w:after="283"/>
              <w:jc w:val="left"/>
              <w:rPr/>
            </w:pPr>
            <w:r>
              <w:rPr/>
              <w:t> </w:t>
            </w:r>
          </w:p>
        </w:tc>
      </w:tr>
      <w:tr>
        <w:trPr/>
        <w:tc>
          <w:tcPr>
            <w:tcW w:w="748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2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7,120</w:t>
            </w:r>
          </w:p>
        </w:tc>
        <w:tc>
          <w:tcPr>
            <w:tcW w:w="16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4,612</w:t>
            </w:r>
          </w:p>
        </w:tc>
        <w:tc>
          <w:tcPr>
            <w:tcW w:w="159" w:type="dxa"/>
            <w:tcBorders/>
            <w:vAlign w:val="bottom"/>
          </w:tcPr>
          <w:p>
            <w:pPr>
              <w:pStyle w:val="TableContents"/>
              <w:bidi w:val="0"/>
              <w:spacing w:before="0" w:after="283"/>
              <w:jc w:val="left"/>
              <w:rPr/>
            </w:pPr>
            <w:r>
              <w:rPr/>
              <w:t> </w:t>
            </w:r>
          </w:p>
        </w:tc>
      </w:tr>
      <w:tr>
        <w:trPr/>
        <w:tc>
          <w:tcPr>
            <w:tcW w:w="7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non-operating expenses, net</w:t>
            </w:r>
          </w:p>
        </w:tc>
        <w:tc>
          <w:tcPr>
            <w:tcW w:w="2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100,975</w:t>
            </w:r>
          </w:p>
        </w:tc>
        <w:tc>
          <w:tcPr>
            <w:tcW w:w="16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112,511</w:t>
            </w:r>
          </w:p>
        </w:tc>
        <w:tc>
          <w:tcPr>
            <w:tcW w:w="159" w:type="dxa"/>
            <w:tcBorders/>
            <w:shd w:fill="CCEEFF" w:val="clear"/>
            <w:vAlign w:val="bottom"/>
          </w:tcPr>
          <w:p>
            <w:pPr>
              <w:pStyle w:val="TableContents"/>
              <w:bidi w:val="0"/>
              <w:spacing w:before="0" w:after="283"/>
              <w:jc w:val="left"/>
              <w:rPr/>
            </w:pPr>
            <w:r>
              <w:rPr/>
              <w:t> </w:t>
            </w:r>
          </w:p>
        </w:tc>
      </w:tr>
      <w:tr>
        <w:trPr/>
        <w:tc>
          <w:tcPr>
            <w:tcW w:w="748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141,064</w:t>
            </w:r>
          </w:p>
        </w:tc>
        <w:tc>
          <w:tcPr>
            <w:tcW w:w="16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130,423</w:t>
            </w:r>
          </w:p>
        </w:tc>
        <w:tc>
          <w:tcPr>
            <w:tcW w:w="159" w:type="dxa"/>
            <w:tcBorders/>
            <w:vAlign w:val="bottom"/>
          </w:tcPr>
          <w:p>
            <w:pPr>
              <w:pStyle w:val="TableContents"/>
              <w:bidi w:val="0"/>
              <w:spacing w:before="0" w:after="283"/>
              <w:jc w:val="left"/>
              <w:rPr/>
            </w:pPr>
            <w:r>
              <w:rPr/>
              <w:t> </w:t>
            </w:r>
          </w:p>
        </w:tc>
      </w:tr>
      <w:tr>
        <w:trPr/>
        <w:tc>
          <w:tcPr>
            <w:tcW w:w="7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2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2,828</w:t>
            </w:r>
          </w:p>
        </w:tc>
        <w:tc>
          <w:tcPr>
            <w:tcW w:w="16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2,195</w:t>
            </w:r>
          </w:p>
        </w:tc>
        <w:tc>
          <w:tcPr>
            <w:tcW w:w="159" w:type="dxa"/>
            <w:tcBorders/>
            <w:shd w:fill="CCEEFF" w:val="clear"/>
            <w:vAlign w:val="bottom"/>
          </w:tcPr>
          <w:p>
            <w:pPr>
              <w:pStyle w:val="TableContents"/>
              <w:bidi w:val="0"/>
              <w:spacing w:before="0" w:after="283"/>
              <w:jc w:val="left"/>
              <w:rPr/>
            </w:pPr>
            <w:r>
              <w:rPr/>
              <w:t> </w:t>
            </w:r>
          </w:p>
        </w:tc>
      </w:tr>
      <w:tr>
        <w:trPr/>
        <w:tc>
          <w:tcPr>
            <w:tcW w:w="7480"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6,566</w:t>
            </w:r>
          </w:p>
        </w:tc>
        <w:tc>
          <w:tcPr>
            <w:tcW w:w="16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6,790</w:t>
            </w:r>
          </w:p>
        </w:tc>
        <w:tc>
          <w:tcPr>
            <w:tcW w:w="159" w:type="dxa"/>
            <w:tcBorders/>
            <w:vAlign w:val="bottom"/>
          </w:tcPr>
          <w:p>
            <w:pPr>
              <w:pStyle w:val="TableContents"/>
              <w:bidi w:val="0"/>
              <w:spacing w:before="0" w:after="283"/>
              <w:jc w:val="left"/>
              <w:rPr/>
            </w:pPr>
            <w:r>
              <w:rPr/>
              <w:t> </w:t>
            </w:r>
          </w:p>
        </w:tc>
      </w:tr>
      <w:tr>
        <w:trPr/>
        <w:tc>
          <w:tcPr>
            <w:tcW w:w="7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2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1,022</w:t>
            </w:r>
          </w:p>
        </w:tc>
        <w:tc>
          <w:tcPr>
            <w:tcW w:w="16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3,424</w:t>
            </w:r>
          </w:p>
        </w:tc>
        <w:tc>
          <w:tcPr>
            <w:tcW w:w="159" w:type="dxa"/>
            <w:tcBorders/>
            <w:shd w:fill="CCEEFF" w:val="clear"/>
            <w:vAlign w:val="bottom"/>
          </w:tcPr>
          <w:p>
            <w:pPr>
              <w:pStyle w:val="TableContents"/>
              <w:bidi w:val="0"/>
              <w:spacing w:before="0" w:after="283"/>
              <w:jc w:val="left"/>
              <w:rPr/>
            </w:pPr>
            <w:r>
              <w:rPr/>
              <w:t> </w:t>
            </w:r>
          </w:p>
        </w:tc>
      </w:tr>
      <w:tr>
        <w:trPr/>
        <w:tc>
          <w:tcPr>
            <w:tcW w:w="7480"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 (6)</w:t>
            </w:r>
          </w:p>
        </w:tc>
        <w:tc>
          <w:tcPr>
            <w:tcW w:w="22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291</w:t>
            </w:r>
          </w:p>
        </w:tc>
        <w:tc>
          <w:tcPr>
            <w:tcW w:w="16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12,250</w:t>
            </w:r>
          </w:p>
        </w:tc>
        <w:tc>
          <w:tcPr>
            <w:tcW w:w="159" w:type="dxa"/>
            <w:tcBorders/>
            <w:vAlign w:val="bottom"/>
          </w:tcPr>
          <w:p>
            <w:pPr>
              <w:pStyle w:val="TableContents"/>
              <w:bidi w:val="0"/>
              <w:spacing w:before="0" w:after="283"/>
              <w:jc w:val="left"/>
              <w:rPr/>
            </w:pPr>
            <w:r>
              <w:rPr/>
              <w:t> </w:t>
            </w:r>
          </w:p>
        </w:tc>
      </w:tr>
      <w:tr>
        <w:trPr/>
        <w:tc>
          <w:tcPr>
            <w:tcW w:w="7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Integrated resort and casino rent (5)</w:t>
            </w:r>
          </w:p>
        </w:tc>
        <w:tc>
          <w:tcPr>
            <w:tcW w:w="2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3,328</w:t>
            </w:r>
          </w:p>
        </w:tc>
        <w:tc>
          <w:tcPr>
            <w:tcW w:w="16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3,475</w:t>
            </w:r>
          </w:p>
        </w:tc>
        <w:tc>
          <w:tcPr>
            <w:tcW w:w="159" w:type="dxa"/>
            <w:tcBorders/>
            <w:shd w:fill="CCEEFF" w:val="clear"/>
            <w:vAlign w:val="bottom"/>
          </w:tcPr>
          <w:p>
            <w:pPr>
              <w:pStyle w:val="TableContents"/>
              <w:bidi w:val="0"/>
              <w:spacing w:before="0" w:after="283"/>
              <w:jc w:val="left"/>
              <w:rPr/>
            </w:pPr>
            <w:r>
              <w:rPr/>
              <w:t> </w:t>
            </w:r>
          </w:p>
        </w:tc>
      </w:tr>
      <w:tr>
        <w:trPr/>
        <w:tc>
          <w:tcPr>
            <w:tcW w:w="7480"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the Philippine Parties</w:t>
            </w:r>
          </w:p>
        </w:tc>
        <w:tc>
          <w:tcPr>
            <w:tcW w:w="22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9,374</w:t>
            </w:r>
          </w:p>
        </w:tc>
        <w:tc>
          <w:tcPr>
            <w:tcW w:w="16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9,239</w:t>
            </w:r>
          </w:p>
        </w:tc>
        <w:tc>
          <w:tcPr>
            <w:tcW w:w="159" w:type="dxa"/>
            <w:tcBorders/>
            <w:vAlign w:val="bottom"/>
          </w:tcPr>
          <w:p>
            <w:pPr>
              <w:pStyle w:val="TableContents"/>
              <w:bidi w:val="0"/>
              <w:spacing w:before="0" w:after="283"/>
              <w:jc w:val="left"/>
              <w:rPr/>
            </w:pPr>
            <w:r>
              <w:rPr/>
              <w:t> </w:t>
            </w:r>
          </w:p>
        </w:tc>
      </w:tr>
      <w:tr>
        <w:trPr/>
        <w:tc>
          <w:tcPr>
            <w:tcW w:w="7480"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343,448</w:t>
            </w:r>
          </w:p>
        </w:tc>
        <w:tc>
          <w:tcPr>
            <w:tcW w:w="16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312,666</w:t>
            </w:r>
          </w:p>
        </w:tc>
        <w:tc>
          <w:tcPr>
            <w:tcW w:w="159" w:type="dxa"/>
            <w:tcBorders/>
            <w:shd w:fill="CCEEFF" w:val="clear"/>
            <w:vAlign w:val="bottom"/>
          </w:tcPr>
          <w:p>
            <w:pPr>
              <w:pStyle w:val="TableContents"/>
              <w:bidi w:val="0"/>
              <w:spacing w:before="0" w:after="283"/>
              <w:jc w:val="left"/>
              <w:rPr/>
            </w:pPr>
            <w:r>
              <w:rPr/>
              <w:t> </w:t>
            </w:r>
          </w:p>
        </w:tc>
      </w:tr>
      <w:tr>
        <w:trPr/>
        <w:tc>
          <w:tcPr>
            <w:tcW w:w="7480" w:type="dxa"/>
            <w:tcBorders/>
          </w:tcPr>
          <w:p>
            <w:pPr>
              <w:pStyle w:val="TableContents"/>
              <w:bidi w:val="0"/>
              <w:spacing w:before="0" w:after="0"/>
              <w:jc w:val="left"/>
              <w:rPr>
                <w:rFonts w:ascii="Times New Roman" w:hAnsi="Times New Roman"/>
                <w:sz w:val="20"/>
              </w:rPr>
            </w:pPr>
            <w:r>
              <w:rPr>
                <w:rFonts w:ascii="Times New Roman" w:hAnsi="Times New Roman"/>
                <w:sz w:val="20"/>
              </w:rPr>
              <w:t>Corporate and Other expenses (4)</w:t>
            </w:r>
          </w:p>
        </w:tc>
        <w:tc>
          <w:tcPr>
            <w:tcW w:w="22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37,528</w:t>
            </w:r>
          </w:p>
        </w:tc>
        <w:tc>
          <w:tcPr>
            <w:tcW w:w="16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28,304</w:t>
            </w:r>
          </w:p>
        </w:tc>
        <w:tc>
          <w:tcPr>
            <w:tcW w:w="159" w:type="dxa"/>
            <w:tcBorders/>
            <w:vAlign w:val="bottom"/>
          </w:tcPr>
          <w:p>
            <w:pPr>
              <w:pStyle w:val="TableContents"/>
              <w:bidi w:val="0"/>
              <w:spacing w:before="0" w:after="283"/>
              <w:jc w:val="left"/>
              <w:rPr/>
            </w:pPr>
            <w:r>
              <w:rPr/>
              <w:t> </w:t>
            </w:r>
          </w:p>
        </w:tc>
      </w:tr>
      <w:tr>
        <w:trPr/>
        <w:tc>
          <w:tcPr>
            <w:tcW w:w="7480"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Property EBITDA</w:t>
            </w:r>
          </w:p>
        </w:tc>
        <w:tc>
          <w:tcPr>
            <w:tcW w:w="2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380,976</w:t>
            </w:r>
          </w:p>
        </w:tc>
        <w:tc>
          <w:tcPr>
            <w:tcW w:w="163"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340,970</w:t>
            </w:r>
          </w:p>
        </w:tc>
        <w:tc>
          <w:tcPr>
            <w:tcW w:w="159" w:type="dxa"/>
            <w:tcBorders/>
            <w:shd w:fill="CCEEFF" w:val="clear"/>
            <w:vAlign w:val="bottom"/>
          </w:tcPr>
          <w:p>
            <w:pPr>
              <w:pStyle w:val="TableContents"/>
              <w:bidi w:val="0"/>
              <w:spacing w:before="0" w:after="283"/>
              <w:jc w:val="left"/>
              <w:rPr/>
            </w:pPr>
            <w:r>
              <w:rPr/>
              <w:t> </w:t>
            </w:r>
          </w:p>
        </w:tc>
      </w:tr>
      <w:tr>
        <w:trPr/>
        <w:tc>
          <w:tcPr>
            <w:tcW w:w="7480"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Data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01"/>
        <w:gridCol w:w="244"/>
        <w:gridCol w:w="156"/>
        <w:gridCol w:w="771"/>
        <w:gridCol w:w="325"/>
        <w:gridCol w:w="200"/>
        <w:gridCol w:w="156"/>
        <w:gridCol w:w="774"/>
        <w:gridCol w:w="278"/>
      </w:tblGrid>
      <w:tr>
        <w:trPr/>
        <w:tc>
          <w:tcPr>
            <w:tcW w:w="7301"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301"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382" w:type="dxa"/>
            <w:gridSpan w:val="6"/>
            <w:tcBorders/>
            <w:vAlign w:val="bottom"/>
          </w:tcPr>
          <w:p>
            <w:pPr>
              <w:pStyle w:val="TableContents"/>
              <w:bidi w:val="0"/>
              <w:spacing w:before="0" w:after="283"/>
              <w:jc w:val="center"/>
              <w:rPr>
                <w:b/>
              </w:rPr>
            </w:pPr>
            <w:r>
              <w:rPr>
                <w:b/>
              </w:rPr>
              <w:t>Three Months Ended</w:t>
              <w:br/>
              <w:t>March 31,</w:t>
            </w:r>
          </w:p>
        </w:tc>
        <w:tc>
          <w:tcPr>
            <w:tcW w:w="278" w:type="dxa"/>
            <w:tcBorders/>
            <w:vAlign w:val="bottom"/>
          </w:tcPr>
          <w:p>
            <w:pPr>
              <w:pStyle w:val="TableContents"/>
              <w:bidi w:val="0"/>
              <w:spacing w:before="0" w:after="283"/>
              <w:jc w:val="left"/>
              <w:rPr/>
            </w:pPr>
            <w:r>
              <w:rPr/>
              <w:t> </w:t>
            </w:r>
          </w:p>
        </w:tc>
      </w:tr>
      <w:tr>
        <w:trPr/>
        <w:tc>
          <w:tcPr>
            <w:tcW w:w="7301"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Room Statistics:</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7301" w:type="dxa"/>
            <w:tcBorders/>
          </w:tcPr>
          <w:p>
            <w:pPr>
              <w:pStyle w:val="TableContents"/>
              <w:bidi w:val="0"/>
              <w:spacing w:before="0" w:after="0"/>
              <w:jc w:val="left"/>
              <w:rPr>
                <w:rFonts w:ascii="Times New Roman" w:hAnsi="Times New Roman"/>
                <w:b/>
                <w:sz w:val="17"/>
              </w:rPr>
            </w:pPr>
            <w:r>
              <w:rPr>
                <w:rFonts w:ascii="Times New Roman" w:hAnsi="Times New Roman"/>
                <w:b/>
                <w:sz w:val="17"/>
              </w:rPr>
              <w:t>City of Dreams</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Average daily rate (7)</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229</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218</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Occupancy per available room</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99</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98</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Revenue per available room (8)</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226</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213</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b/>
                <w:sz w:val="17"/>
              </w:rPr>
            </w:pPr>
            <w:r>
              <w:rPr>
                <w:rFonts w:ascii="Times New Roman" w:hAnsi="Times New Roman"/>
                <w:b/>
                <w:sz w:val="17"/>
              </w:rPr>
              <w:t>Studio City</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Average daily rate (7)</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179</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169</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Occupancy per available room</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98</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99</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Revenue per available room (8)</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176</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166</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b/>
                <w:sz w:val="17"/>
              </w:rPr>
            </w:pPr>
            <w:r>
              <w:rPr>
                <w:rFonts w:ascii="Times New Roman" w:hAnsi="Times New Roman"/>
                <w:b/>
                <w:sz w:val="17"/>
              </w:rPr>
              <w:t>Altira Macau</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Average daily rate (7)</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135</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134</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Occupancy per available room</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98</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97</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Revenue per available room (8)</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132</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130</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b/>
                <w:sz w:val="17"/>
              </w:rPr>
            </w:pPr>
            <w:r>
              <w:rPr>
                <w:rFonts w:ascii="Times New Roman" w:hAnsi="Times New Roman"/>
                <w:b/>
                <w:sz w:val="17"/>
              </w:rPr>
              <w:t>City of Dreams Manila</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Average daily rate (7)</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148</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159</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Occupancy per available room</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96</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95</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Revenue per available room (8)</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142</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150</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b/>
                <w:sz w:val="17"/>
              </w:rPr>
            </w:pPr>
            <w:r>
              <w:rPr>
                <w:rFonts w:ascii="Times New Roman" w:hAnsi="Times New Roman"/>
                <w:b/>
                <w:sz w:val="17"/>
              </w:rPr>
              <w:t>City of Dreams Mediterranean and Other</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Average daily rate (7)</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415</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358</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Occupancy per available room</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41</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57</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Revenue per available room (8)</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171</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206</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b/>
                <w:sz w:val="17"/>
              </w:rPr>
            </w:pPr>
            <w:r>
              <w:rPr>
                <w:rFonts w:ascii="Times New Roman" w:hAnsi="Times New Roman"/>
                <w:b/>
                <w:sz w:val="17"/>
              </w:rPr>
              <w:t>Other Information:</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7301"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City of Dreams</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Average number of table games</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448</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430</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Average number of gaming machines</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808</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627</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Table games win per unit per day (9)</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18,924</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18,259</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Gaming machines win per unit per day (10)</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692</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508</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b/>
                <w:sz w:val="17"/>
              </w:rPr>
            </w:pPr>
            <w:r>
              <w:rPr>
                <w:rFonts w:ascii="Times New Roman" w:hAnsi="Times New Roman"/>
                <w:b/>
                <w:sz w:val="17"/>
              </w:rPr>
              <w:t>Studio City</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Average number of table games</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253</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253</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Average number of gaming machines</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964</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797</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Table games win per unit per day (9)</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14,619</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13,320</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Gaming machines win per unit per day (10)</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468</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458</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Altira Macau</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Average number of table games</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32</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37</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Average number of gaming machines</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287</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135</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Table games win per unit per day (9)</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11,606</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7,321</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Gaming machines win per unit per day (10)</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299</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310</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b/>
                <w:sz w:val="17"/>
              </w:rPr>
            </w:pPr>
            <w:r>
              <w:rPr>
                <w:rFonts w:ascii="Times New Roman" w:hAnsi="Times New Roman"/>
                <w:b/>
                <w:sz w:val="17"/>
              </w:rPr>
              <w:t>Mocha and Other(3)</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Average number of table games</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15</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Average number of gaming machines</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425</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855</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Table games win per unit per day (9)</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6,894</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Gaming machines win per unit per day (10)</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403</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288</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City of Dreams Manila</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Average number of table games</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264</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269</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Average number of gaming machines</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2,264</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2,273</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Table games win per unit per day (9)</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2,862</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2,399</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Gaming machines win per unit per day (10)</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249</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250</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b/>
                <w:sz w:val="17"/>
              </w:rPr>
            </w:pPr>
            <w:r>
              <w:rPr>
                <w:rFonts w:ascii="Times New Roman" w:hAnsi="Times New Roman"/>
                <w:b/>
                <w:sz w:val="17"/>
              </w:rPr>
              <w:t>City of Dreams Mediterranean and Other</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Average number of table games</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107</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106</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Average number of gaming machines</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920</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887</w:t>
            </w:r>
          </w:p>
        </w:tc>
        <w:tc>
          <w:tcPr>
            <w:tcW w:w="278" w:type="dxa"/>
            <w:tcBorders/>
            <w:vAlign w:val="bottom"/>
          </w:tcPr>
          <w:p>
            <w:pPr>
              <w:pStyle w:val="TableContents"/>
              <w:bidi w:val="0"/>
              <w:spacing w:before="0" w:after="283"/>
              <w:jc w:val="left"/>
              <w:rPr/>
            </w:pPr>
            <w:r>
              <w:rPr/>
              <w:t> </w:t>
            </w:r>
          </w:p>
        </w:tc>
      </w:tr>
      <w:tr>
        <w:trPr/>
        <w:tc>
          <w:tcPr>
            <w:tcW w:w="7301"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Table games win per unit per day (9)</w:t>
            </w:r>
          </w:p>
        </w:tc>
        <w:tc>
          <w:tcPr>
            <w:tcW w:w="24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3,445</w:t>
            </w:r>
          </w:p>
        </w:tc>
        <w:tc>
          <w:tcPr>
            <w:tcW w:w="3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3,093</w:t>
            </w:r>
          </w:p>
        </w:tc>
        <w:tc>
          <w:tcPr>
            <w:tcW w:w="278" w:type="dxa"/>
            <w:tcBorders/>
            <w:shd w:fill="CCEEFF" w:val="clear"/>
            <w:vAlign w:val="bottom"/>
          </w:tcPr>
          <w:p>
            <w:pPr>
              <w:pStyle w:val="TableContents"/>
              <w:bidi w:val="0"/>
              <w:spacing w:before="0" w:after="283"/>
              <w:jc w:val="left"/>
              <w:rPr/>
            </w:pPr>
            <w:r>
              <w:rPr/>
              <w:t> </w:t>
            </w:r>
          </w:p>
        </w:tc>
      </w:tr>
      <w:tr>
        <w:trPr/>
        <w:tc>
          <w:tcPr>
            <w:tcW w:w="7301" w:type="dxa"/>
            <w:tcBorders/>
          </w:tcPr>
          <w:p>
            <w:pPr>
              <w:pStyle w:val="TableContents"/>
              <w:bidi w:val="0"/>
              <w:spacing w:before="0" w:after="0"/>
              <w:jc w:val="left"/>
              <w:rPr>
                <w:rFonts w:ascii="Times New Roman" w:hAnsi="Times New Roman"/>
                <w:sz w:val="17"/>
              </w:rPr>
            </w:pPr>
            <w:r>
              <w:rPr>
                <w:rFonts w:ascii="Times New Roman" w:hAnsi="Times New Roman"/>
                <w:sz w:val="17"/>
              </w:rPr>
              <w:t>Gaming machines win per unit per day (10)</w:t>
            </w:r>
          </w:p>
        </w:tc>
        <w:tc>
          <w:tcPr>
            <w:tcW w:w="24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382</w:t>
            </w:r>
          </w:p>
        </w:tc>
        <w:tc>
          <w:tcPr>
            <w:tcW w:w="3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372</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Average daily rate is calculated by dividing total room revenues including complimentary rooms (less service charges, if any) by total occupied rooms including complimentary rooms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Revenue per available room is calculated by dividing total room revenues including complimentary rooms (less service charges, if any) by total rooms available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Table games win per unit per day is shown before discounts, commissions, other incentives and allocating casino revenues related to goods and services provided to gaming patrons on a complimentary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Gaming machines win per unit per day is shown before other incentives and allocating casino revenues related to goods and services provided to gaming patrons on a complimentary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6025</Words>
  <Characters>33195</Characters>
  <CharactersWithSpaces>40713</CharactersWithSpaces>
  <Paragraphs>3037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Unaudited Results for First Quarter of 2026</dc:title>
</cp:coreProperties>
</file>