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52386d6k.htm"/>
        <w:bookmarkStart w:id="1" w:name="ksd152386d6k"/>
        <w:bookmarkEnd w:id="0"/>
        <w:bookmarkEnd w:id="1"/>
        <w:r>
          <w:rPr>
            <w:rStyle w:val="InternetLink"/>
            <w:b/>
            <w:sz w:val="20"/>
          </w:rPr>
          <w:t>Table of Contents</w:t>
        </w:r>
      </w:hyperlink>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OF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001-33178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4"/>
        </w:rPr>
      </w:pPr>
      <w:r>
        <w:rPr>
          <w:rFonts w:ascii="Times New Roman" w:hAnsi="Times New Roman"/>
          <w:b/>
          <w:sz w:val="44"/>
        </w:rPr>
        <w:t xml:space="preserve">MELCO RESORTS &amp; ENTERTAINMENT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71 Robinson Road </w:t>
      </w:r>
    </w:p>
    <w:p>
      <w:pPr>
        <w:pStyle w:val="TextBody"/>
        <w:bidi w:val="0"/>
        <w:spacing w:before="0" w:after="0"/>
        <w:jc w:val="center"/>
        <w:rPr>
          <w:rFonts w:ascii="Times New Roman" w:hAnsi="Times New Roman"/>
          <w:b/>
          <w:sz w:val="20"/>
        </w:rPr>
      </w:pPr>
      <w:r>
        <w:rPr>
          <w:rFonts w:ascii="Times New Roman" w:hAnsi="Times New Roman"/>
          <w:b/>
          <w:sz w:val="20"/>
        </w:rPr>
        <w:t xml:space="preserve">#04-03 </w:t>
      </w:r>
    </w:p>
    <w:p>
      <w:pPr>
        <w:pStyle w:val="TextBody"/>
        <w:bidi w:val="0"/>
        <w:spacing w:before="0" w:after="0"/>
        <w:jc w:val="center"/>
        <w:rPr>
          <w:rFonts w:ascii="Times New Roman" w:hAnsi="Times New Roman"/>
          <w:b/>
          <w:sz w:val="20"/>
        </w:rPr>
      </w:pPr>
      <w:r>
        <w:rPr>
          <w:rFonts w:ascii="Times New Roman" w:hAnsi="Times New Roman"/>
          <w:b/>
          <w:sz w:val="20"/>
        </w:rPr>
        <w:t>Singapore 068895</w:t>
      </w:r>
    </w:p>
    <w:p>
      <w:pPr>
        <w:pStyle w:val="TextBody"/>
        <w:bidi w:val="0"/>
        <w:spacing w:before="0" w:after="0"/>
        <w:jc w:val="center"/>
        <w:rPr>
          <w:rFonts w:ascii="Times New Roman" w:hAnsi="Times New Roman"/>
          <w:b/>
          <w:sz w:val="20"/>
        </w:rPr>
      </w:pPr>
      <w:r>
        <w:rPr>
          <w:rFonts w:ascii="Times New Roman" w:hAnsi="Times New Roman"/>
          <w:b/>
          <w:sz w:val="20"/>
        </w:rPr>
        <w:t xml:space="preserve">and </w:t>
      </w:r>
    </w:p>
    <w:p>
      <w:pPr>
        <w:pStyle w:val="TextBody"/>
        <w:bidi w:val="0"/>
        <w:spacing w:before="0" w:after="0"/>
        <w:jc w:val="center"/>
        <w:rPr>
          <w:rFonts w:ascii="Times New Roman" w:hAnsi="Times New Roman"/>
          <w:b/>
          <w:sz w:val="20"/>
        </w:rPr>
      </w:pPr>
      <w:r>
        <w:rPr>
          <w:rFonts w:ascii="Times New Roman" w:hAnsi="Times New Roman"/>
          <w:b/>
          <w:sz w:val="20"/>
        </w:rPr>
        <w:t xml:space="preserve">38th Floor, The Centrium </w:t>
      </w:r>
    </w:p>
    <w:p>
      <w:pPr>
        <w:pStyle w:val="TextBody"/>
        <w:bidi w:val="0"/>
        <w:spacing w:before="0" w:after="0"/>
        <w:jc w:val="center"/>
        <w:rPr>
          <w:rFonts w:ascii="Times New Roman" w:hAnsi="Times New Roman"/>
          <w:b/>
          <w:sz w:val="20"/>
        </w:rPr>
      </w:pPr>
      <w:r>
        <w:rPr>
          <w:rFonts w:ascii="Times New Roman" w:hAnsi="Times New Roman"/>
          <w:b/>
          <w:sz w:val="20"/>
        </w:rPr>
        <w:t xml:space="preserve">60 Wyndham Street </w:t>
      </w:r>
    </w:p>
    <w:p>
      <w:pPr>
        <w:pStyle w:val="TextBody"/>
        <w:bidi w:val="0"/>
        <w:spacing w:before="0" w:after="0"/>
        <w:jc w:val="center"/>
        <w:rPr>
          <w:rFonts w:ascii="Times New Roman" w:hAnsi="Times New Roman"/>
          <w:b/>
          <w:sz w:val="20"/>
        </w:rPr>
      </w:pPr>
      <w:r>
        <w:rPr>
          <w:rFonts w:ascii="Times New Roman" w:hAnsi="Times New Roman"/>
          <w:b/>
          <w:sz w:val="20"/>
        </w:rPr>
        <w:t xml:space="preserve">Central </w:t>
      </w:r>
    </w:p>
    <w:p>
      <w:pPr>
        <w:pStyle w:val="TextBody"/>
        <w:bidi w:val="0"/>
        <w:spacing w:before="0" w:after="0"/>
        <w:jc w:val="center"/>
        <w:rPr>
          <w:rFonts w:ascii="Times New Roman" w:hAnsi="Times New Roman"/>
          <w:b/>
          <w:sz w:val="20"/>
        </w:rPr>
      </w:pPr>
      <w:r>
        <w:rPr>
          <w:rFonts w:ascii="Times New Roman" w:hAnsi="Times New Roman"/>
          <w:b/>
          <w:sz w:val="20"/>
        </w:rPr>
        <w:t xml:space="preserve">Hong Kong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w:t>
      </w:r>
    </w:p>
    <w:p>
      <w:pPr>
        <w:pStyle w:val="TextBody"/>
        <w:bidi w:val="0"/>
        <w:spacing w:before="0" w:after="0"/>
        <w:jc w:val="center"/>
        <w:rPr>
          <w:rFonts w:ascii="Times New Roman" w:hAnsi="Times New Roman"/>
          <w:b/>
          <w:sz w:val="20"/>
        </w:rPr>
      </w:pPr>
      <w:r>
        <w:rPr>
          <w:rFonts w:ascii="Times New Roman" w:hAnsi="Times New Roman"/>
          <w:b/>
          <w:sz w:val="20"/>
        </w:rPr>
        <w:t xml:space="preserve">Form 6–K </w:t>
      </w:r>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15"/>
        <w:gridCol w:w="128"/>
        <w:gridCol w:w="60"/>
        <w:gridCol w:w="140"/>
        <w:gridCol w:w="62"/>
      </w:tblGrid>
      <w:tr>
        <w:trPr/>
        <w:tc>
          <w:tcPr>
            <w:tcW w:w="9815" w:type="dxa"/>
            <w:tcBorders/>
            <w:vAlign w:val="center"/>
          </w:tcPr>
          <w:p>
            <w:pPr>
              <w:pStyle w:val="TableContents"/>
              <w:bidi w:val="0"/>
              <w:spacing w:before="0" w:after="283"/>
              <w:jc w:val="left"/>
              <w:rPr>
                <w:sz w:val="4"/>
                <w:szCs w:val="4"/>
              </w:rPr>
            </w:pPr>
            <w:r>
              <w:rPr>
                <w:sz w:val="4"/>
                <w:szCs w:val="4"/>
              </w:rPr>
            </w:r>
          </w:p>
        </w:tc>
        <w:tc>
          <w:tcPr>
            <w:tcW w:w="12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tx152386_1">
              <w:r>
                <w:rPr>
                  <w:rStyle w:val="InternetLink"/>
                  <w:rFonts w:ascii="Times New Roman" w:hAnsi="Times New Roman"/>
                  <w:sz w:val="20"/>
                </w:rPr>
                <w:t xml:space="preserve">Signature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right"/>
              <w:rPr/>
            </w:pPr>
            <w:r>
              <w:rPr/>
              <w:t>3</w:t>
            </w:r>
          </w:p>
        </w:tc>
        <w:tc>
          <w:tcPr>
            <w:tcW w:w="62" w:type="dxa"/>
            <w:tcBorders/>
            <w:vAlign w:val="bottom"/>
          </w:tcPr>
          <w:p>
            <w:pPr>
              <w:pStyle w:val="TableContents"/>
              <w:bidi w:val="0"/>
              <w:spacing w:before="0" w:after="283"/>
              <w:jc w:val="left"/>
              <w:rPr/>
            </w:pPr>
            <w:r>
              <w:rPr/>
              <w:t> </w:t>
            </w:r>
          </w:p>
        </w:tc>
      </w:tr>
      <w:tr>
        <w:trPr>
          <w:trHeight w:val="120" w:hRule="atLeast"/>
        </w:trPr>
        <w:tc>
          <w:tcPr>
            <w:tcW w:w="9815" w:type="dxa"/>
            <w:tcBorders/>
            <w:vAlign w:val="center"/>
          </w:tcPr>
          <w:p>
            <w:pPr>
              <w:pStyle w:val="TableContents"/>
              <w:bidi w:val="0"/>
              <w:spacing w:before="0" w:after="283"/>
              <w:jc w:val="left"/>
              <w:rPr>
                <w:sz w:val="4"/>
                <w:szCs w:val="4"/>
              </w:rPr>
            </w:pPr>
            <w:r>
              <w:rPr>
                <w:sz w:val="4"/>
                <w:szCs w:val="4"/>
              </w:rPr>
            </w:r>
          </w:p>
        </w:tc>
        <w:tc>
          <w:tcPr>
            <w:tcW w:w="390" w:type="dxa"/>
            <w:gridSpan w:val="4"/>
            <w:tcBorders/>
            <w:vAlign w:val="center"/>
          </w:tcPr>
          <w:p>
            <w:pPr>
              <w:pStyle w:val="TableContents"/>
              <w:bidi w:val="0"/>
              <w:spacing w:before="0" w:after="283"/>
              <w:jc w:val="left"/>
              <w:rPr>
                <w:sz w:val="4"/>
                <w:szCs w:val="4"/>
              </w:rPr>
            </w:pPr>
            <w:r>
              <w:rPr>
                <w:sz w:val="4"/>
                <w:szCs w:val="4"/>
              </w:rPr>
            </w:r>
          </w:p>
        </w:tc>
      </w:tr>
      <w:tr>
        <w:trPr/>
        <w:tc>
          <w:tcPr>
            <w:tcW w:w="9815" w:type="dxa"/>
            <w:tcBorders/>
          </w:tcPr>
          <w:p>
            <w:pPr>
              <w:pStyle w:val="TableContents"/>
              <w:bidi w:val="0"/>
              <w:spacing w:before="0" w:after="0"/>
              <w:jc w:val="left"/>
              <w:rPr/>
            </w:pPr>
            <w:hyperlink w:anchor="d152386dex991.htm">
              <w:r>
                <w:rPr>
                  <w:rStyle w:val="InternetLink"/>
                  <w:rFonts w:ascii="Times New Roman" w:hAnsi="Times New Roman"/>
                  <w:sz w:val="20"/>
                </w:rPr>
                <w:t xml:space="preserve">Exhibit 99.1 </w:t>
              </w:r>
            </w:hyperlink>
          </w:p>
        </w:tc>
        <w:tc>
          <w:tcPr>
            <w:tcW w:w="12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x152386_1"/>
      <w:bookmarkEnd w:id="3"/>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21"/>
        <w:gridCol w:w="143"/>
        <w:gridCol w:w="2518"/>
      </w:tblGrid>
      <w:tr>
        <w:trPr/>
        <w:tc>
          <w:tcPr>
            <w:tcW w:w="1421"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MELCO RESORTS &amp; ENTERTAINMENT LIMITED</w:t>
            </w:r>
          </w:p>
        </w:tc>
      </w:tr>
      <w:tr>
        <w:trPr>
          <w:trHeight w:val="240" w:hRule="atLeast"/>
        </w:trPr>
        <w:tc>
          <w:tcPr>
            <w:tcW w:w="1421" w:type="dxa"/>
            <w:tcBorders/>
            <w:vAlign w:val="center"/>
          </w:tcPr>
          <w:p>
            <w:pPr>
              <w:pStyle w:val="TableContents"/>
              <w:bidi w:val="0"/>
              <w:spacing w:before="0" w:after="283"/>
              <w:jc w:val="left"/>
              <w:rPr>
                <w:sz w:val="4"/>
                <w:szCs w:val="4"/>
              </w:rPr>
            </w:pPr>
            <w:r>
              <w:rPr>
                <w:sz w:val="4"/>
                <w:szCs w:val="4"/>
              </w:rPr>
            </w:r>
          </w:p>
        </w:tc>
        <w:tc>
          <w:tcPr>
            <w:tcW w:w="2661" w:type="dxa"/>
            <w:gridSpan w:val="2"/>
            <w:tcBorders/>
            <w:vAlign w:val="center"/>
          </w:tcPr>
          <w:p>
            <w:pPr>
              <w:pStyle w:val="TableContents"/>
              <w:bidi w:val="0"/>
              <w:spacing w:before="0" w:after="283"/>
              <w:jc w:val="left"/>
              <w:rPr>
                <w:sz w:val="4"/>
                <w:szCs w:val="4"/>
              </w:rPr>
            </w:pPr>
            <w:r>
              <w:rPr>
                <w:sz w:val="4"/>
                <w:szCs w:val="4"/>
              </w:rPr>
            </w:r>
          </w:p>
        </w:tc>
      </w:tr>
      <w:tr>
        <w:trPr/>
        <w:tc>
          <w:tcPr>
            <w:tcW w:w="1421" w:type="dxa"/>
            <w:tcBorders/>
          </w:tcPr>
          <w:p>
            <w:pPr>
              <w:pStyle w:val="TableContents"/>
              <w:bidi w:val="0"/>
              <w:spacing w:before="0" w:after="283"/>
              <w:jc w:val="left"/>
              <w:rPr/>
            </w:pPr>
            <w:r>
              <w:rPr/>
              <w:t>By:</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Geoffrey Davis</w:t>
            </w:r>
          </w:p>
        </w:tc>
      </w:tr>
      <w:tr>
        <w:trPr/>
        <w:tc>
          <w:tcPr>
            <w:tcW w:w="1421" w:type="dxa"/>
            <w:tcBorders/>
          </w:tcPr>
          <w:p>
            <w:pPr>
              <w:pStyle w:val="TableContents"/>
              <w:bidi w:val="0"/>
              <w:spacing w:before="0" w:after="283"/>
              <w:jc w:val="left"/>
              <w:rPr/>
            </w:pPr>
            <w:r>
              <w:rPr/>
              <w:t>Name: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Geoffrey Davis, CFA</w:t>
            </w:r>
          </w:p>
        </w:tc>
      </w:tr>
      <w:tr>
        <w:trPr/>
        <w:tc>
          <w:tcPr>
            <w:tcW w:w="1421" w:type="dxa"/>
            <w:tcBorders/>
          </w:tcPr>
          <w:p>
            <w:pPr>
              <w:pStyle w:val="TableContents"/>
              <w:bidi w:val="0"/>
              <w:spacing w:before="0" w:after="283"/>
              <w:jc w:val="left"/>
              <w:rPr/>
            </w:pPr>
            <w:r>
              <w:rPr/>
              <w:t>Title:</w:t>
            </w:r>
          </w:p>
        </w:tc>
        <w:tc>
          <w:tcPr>
            <w:tcW w:w="143" w:type="dxa"/>
            <w:tcBorders/>
            <w:vAlign w:val="bottom"/>
          </w:tcPr>
          <w:p>
            <w:pPr>
              <w:pStyle w:val="TableContents"/>
              <w:bidi w:val="0"/>
              <w:spacing w:before="0" w:after="283"/>
              <w:jc w:val="left"/>
              <w:rPr/>
            </w:pPr>
            <w:r>
              <w:rPr/>
              <w:t> </w:t>
            </w:r>
          </w:p>
        </w:tc>
        <w:tc>
          <w:tcPr>
            <w:tcW w:w="2518"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14, 2026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5"/>
        <w:gridCol w:w="321"/>
        <w:gridCol w:w="8669"/>
      </w:tblGrid>
      <w:tr>
        <w:trPr/>
        <w:tc>
          <w:tcPr>
            <w:tcW w:w="1215" w:type="dxa"/>
            <w:tcBorders/>
            <w:vAlign w:val="center"/>
          </w:tcPr>
          <w:p>
            <w:pPr>
              <w:pStyle w:val="TableContents"/>
              <w:bidi w:val="0"/>
              <w:spacing w:before="0" w:after="283"/>
              <w:jc w:val="left"/>
              <w:rPr>
                <w:sz w:val="4"/>
                <w:szCs w:val="4"/>
              </w:rPr>
            </w:pPr>
            <w:r>
              <w:rPr>
                <w:sz w:val="4"/>
                <w:szCs w:val="4"/>
              </w:rPr>
            </w:r>
          </w:p>
        </w:tc>
        <w:tc>
          <w:tcPr>
            <w:tcW w:w="321" w:type="dxa"/>
            <w:tcBorders/>
            <w:vAlign w:val="bottom"/>
          </w:tcPr>
          <w:p>
            <w:pPr>
              <w:pStyle w:val="TableContents"/>
              <w:bidi w:val="0"/>
              <w:spacing w:before="0" w:after="283"/>
              <w:jc w:val="left"/>
              <w:rPr>
                <w:sz w:val="4"/>
                <w:szCs w:val="4"/>
              </w:rPr>
            </w:pPr>
            <w:r>
              <w:rPr>
                <w:sz w:val="4"/>
                <w:szCs w:val="4"/>
              </w:rPr>
            </w:r>
          </w:p>
        </w:tc>
        <w:tc>
          <w:tcPr>
            <w:tcW w:w="8669" w:type="dxa"/>
            <w:tcBorders/>
            <w:vAlign w:val="center"/>
          </w:tcPr>
          <w:p>
            <w:pPr>
              <w:pStyle w:val="TableContents"/>
              <w:bidi w:val="0"/>
              <w:spacing w:before="0" w:after="283"/>
              <w:jc w:val="left"/>
              <w:rPr>
                <w:sz w:val="4"/>
                <w:szCs w:val="4"/>
              </w:rPr>
            </w:pPr>
            <w:r>
              <w:rPr>
                <w:sz w:val="4"/>
                <w:szCs w:val="4"/>
              </w:rPr>
            </w:r>
          </w:p>
        </w:tc>
      </w:tr>
      <w:tr>
        <w:trPr/>
        <w:tc>
          <w:tcPr>
            <w:tcW w:w="121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No.</w:t>
            </w:r>
          </w:p>
        </w:tc>
        <w:tc>
          <w:tcPr>
            <w:tcW w:w="321" w:type="dxa"/>
            <w:tcBorders/>
            <w:vAlign w:val="bottom"/>
          </w:tcPr>
          <w:p>
            <w:pPr>
              <w:pStyle w:val="TableContents"/>
              <w:bidi w:val="0"/>
              <w:spacing w:before="0" w:after="283"/>
              <w:jc w:val="left"/>
              <w:rPr/>
            </w:pPr>
            <w:r>
              <w:rPr/>
              <w:t>  </w:t>
            </w:r>
          </w:p>
        </w:tc>
        <w:tc>
          <w:tcPr>
            <w:tcW w:w="866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15" w:type="dxa"/>
            <w:tcBorders/>
            <w:vAlign w:val="center"/>
          </w:tcPr>
          <w:p>
            <w:pPr>
              <w:pStyle w:val="TableContents"/>
              <w:bidi w:val="0"/>
              <w:spacing w:before="0" w:after="283"/>
              <w:jc w:val="left"/>
              <w:rPr>
                <w:sz w:val="4"/>
                <w:szCs w:val="4"/>
              </w:rPr>
            </w:pPr>
            <w:r>
              <w:rPr>
                <w:sz w:val="4"/>
                <w:szCs w:val="4"/>
              </w:rPr>
            </w:r>
          </w:p>
        </w:tc>
        <w:tc>
          <w:tcPr>
            <w:tcW w:w="8990" w:type="dxa"/>
            <w:gridSpan w:val="2"/>
            <w:tcBorders/>
            <w:vAlign w:val="center"/>
          </w:tcPr>
          <w:p>
            <w:pPr>
              <w:pStyle w:val="TableContents"/>
              <w:bidi w:val="0"/>
              <w:spacing w:before="0" w:after="283"/>
              <w:jc w:val="left"/>
              <w:rPr>
                <w:sz w:val="4"/>
                <w:szCs w:val="4"/>
              </w:rPr>
            </w:pPr>
            <w:r>
              <w:rPr>
                <w:sz w:val="4"/>
                <w:szCs w:val="4"/>
              </w:rPr>
            </w:r>
          </w:p>
        </w:tc>
      </w:tr>
      <w:tr>
        <w:trPr/>
        <w:tc>
          <w:tcPr>
            <w:tcW w:w="1215" w:type="dxa"/>
            <w:tcBorders/>
          </w:tcPr>
          <w:p>
            <w:pPr>
              <w:pStyle w:val="TableContents"/>
              <w:bidi w:val="0"/>
              <w:spacing w:before="0" w:after="283"/>
              <w:jc w:val="left"/>
              <w:rPr/>
            </w:pPr>
            <w:r>
              <w:rPr/>
              <w:t>Exhibit 99.1</w:t>
            </w:r>
          </w:p>
        </w:tc>
        <w:tc>
          <w:tcPr>
            <w:tcW w:w="321" w:type="dxa"/>
            <w:tcBorders/>
            <w:vAlign w:val="bottom"/>
          </w:tcPr>
          <w:p>
            <w:pPr>
              <w:pStyle w:val="TableContents"/>
              <w:bidi w:val="0"/>
              <w:spacing w:before="0" w:after="283"/>
              <w:jc w:val="left"/>
              <w:rPr/>
            </w:pPr>
            <w:r>
              <w:rPr/>
              <w:t>  </w:t>
            </w:r>
          </w:p>
        </w:tc>
        <w:tc>
          <w:tcPr>
            <w:tcW w:w="8669" w:type="dxa"/>
            <w:tcBorders/>
          </w:tcPr>
          <w:p>
            <w:pPr>
              <w:pStyle w:val="TableContents"/>
              <w:bidi w:val="0"/>
              <w:spacing w:before="0" w:after="283"/>
              <w:jc w:val="left"/>
              <w:rPr/>
            </w:pPr>
            <w:r>
              <w:rPr/>
              <w:t>Unaudited Results for Second Quarter of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4" w:name="d152386dex991.htm"/>
      <w:bookmarkStart w:id="5" w:name="ksd152386dex991"/>
      <w:bookmarkEnd w:id="4"/>
      <w:bookmarkEnd w:id="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181100" cy="2571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81100" cy="257175"/>
                    </a:xfrm>
                    <a:prstGeom prst="rect">
                      <a:avLst/>
                    </a:prstGeom>
                  </pic:spPr>
                </pic:pic>
              </a:graphicData>
            </a:graphic>
          </wp:inline>
        </w:drawing>
      </w:r>
      <w:r>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Melco Resorts Announces Unaudited Second Quarter 2026 Earnings </w:t>
      </w:r>
    </w:p>
    <w:p>
      <w:pPr>
        <w:pStyle w:val="TextBody"/>
        <w:bidi w:val="0"/>
        <w:spacing w:before="240" w:after="0"/>
        <w:jc w:val="left"/>
        <w:rPr>
          <w:rFonts w:ascii="Times New Roman" w:hAnsi="Times New Roman"/>
          <w:sz w:val="20"/>
        </w:rPr>
      </w:pPr>
      <w:r>
        <w:rPr>
          <w:rFonts w:ascii="Times New Roman" w:hAnsi="Times New Roman"/>
          <w:sz w:val="20"/>
        </w:rPr>
        <w:t xml:space="preserve">MACAU, Aug. 13, 2026 (GLOBE NEWSWIRE) — Melco Resorts &amp; Entertainment Limited (Nasdaq: MLCO) (“Melco Resorts” or the “Company”), a developer, owner, and operator of integrated resort facilities in Asia and Europe, today reported its unaudited financial results for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for the second quarter of 2026 were US$1.25 billion, representing a decrease of approximately 6% from US$1.33 billion for the comparable period in 2025. The decrease in total operating revenues was primarily attributable to softer performance in rolling chip and mass market table games as well as overall non-gaming operations. </w:t>
      </w:r>
    </w:p>
    <w:p>
      <w:pPr>
        <w:pStyle w:val="TextBody"/>
        <w:bidi w:val="0"/>
        <w:spacing w:before="240" w:after="0"/>
        <w:jc w:val="left"/>
        <w:rPr>
          <w:rFonts w:ascii="Times New Roman" w:hAnsi="Times New Roman"/>
          <w:sz w:val="20"/>
        </w:rPr>
      </w:pPr>
      <w:r>
        <w:rPr>
          <w:rFonts w:ascii="Times New Roman" w:hAnsi="Times New Roman"/>
          <w:sz w:val="20"/>
        </w:rPr>
        <w:t xml:space="preserve">Operating income for the second quarter of 2026 was US$127.8 million, compared with US$124.7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Melco Resorts’ Adjusted Property EBITDA(1) was US$303.8 million in the second quarter of 2026, compared with US$377.7 million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Net income attributable to Melco Resorts &amp; Entertainment Limited for the second quarter of 2026 was US$22.7 million, or US$0.06 per American depositary share (“ADS”), compared with US$17.2 million, or US$0.04 per ADS, in the second quarter of 2025. The net loss attributable to noncontrolling interests was US$12.1 million and US$7.8 million during the second quarters of 2026 and 2025, respectively, the majority of which was attributable to Studio City and City of Dreams Mediterranean and Other. </w:t>
      </w:r>
    </w:p>
    <w:p>
      <w:pPr>
        <w:pStyle w:val="TextBody"/>
        <w:bidi w:val="0"/>
        <w:spacing w:before="240" w:after="0"/>
        <w:jc w:val="left"/>
        <w:rPr>
          <w:rFonts w:ascii="Times New Roman" w:hAnsi="Times New Roman"/>
          <w:sz w:val="20"/>
        </w:rPr>
      </w:pPr>
      <w:r>
        <w:rPr>
          <w:rFonts w:ascii="Times New Roman" w:hAnsi="Times New Roman"/>
          <w:sz w:val="20"/>
        </w:rPr>
        <w:t xml:space="preserve">Mr. Lawrence Ho, our Chairman and Chief Executive Officer, commented, “We are confident in the long-term strength of our businesses and our outlook for Macau. Despite near-term headwinds that are reflected in our second quarter results, our priorities continue to be to deepen customer engagement, attract high quality visitation, and continue investing in our properties to anticipate the changing needs of our guests. Our new hotel, REM, will commence its phased opening in the third quarter of 2026, which together with our continued efforts to operate more efficiently and strengthen our business, positions us well to capture the demand that has been gaining momentum in Macau. </w:t>
      </w:r>
    </w:p>
    <w:p>
      <w:pPr>
        <w:pStyle w:val="TextBody"/>
        <w:bidi w:val="0"/>
        <w:spacing w:before="240" w:after="0"/>
        <w:jc w:val="left"/>
        <w:rPr/>
      </w:pPr>
      <w:r>
        <w:rPr/>
        <w:t>“</w:t>
      </w:r>
      <w:r>
        <w:rPr>
          <w:rFonts w:ascii="Times New Roman" w:hAnsi="Times New Roman"/>
          <w:sz w:val="20"/>
        </w:rPr>
        <w:t xml:space="preserve">Outside of Macau, our diversified portfolio continued to demonstrate resilience and growth potential. In the Philippines, City of Dreams Manila delivered solid year-over-year growth despite the ongoing challenges in the country. In Cyprus, City of Dreams Mediterranean and our satellite casinos rebounded with considerable strength as disruptions in regional travel eased, with Property EBITDA in the second quarter of 2026 growing by 60% year-over-year.”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City of Dreams were US$632.2 million, compared with US$710.5 million in the second quarter of 2025. City of Dreams’ Adjusted EBITDA was US$147.8 million in the second quarter of 2026, compared with US$225.6 million in the second quarter of 2025. The year-over-year decrease in Adjusted EBITDA was primarily a result of softer rolling chip and mass market table games performance. </w:t>
      </w:r>
    </w:p>
    <w:p>
      <w:pPr>
        <w:pStyle w:val="TextBody"/>
        <w:bidi w:val="0"/>
        <w:spacing w:before="240" w:after="0"/>
        <w:jc w:val="left"/>
        <w:rPr>
          <w:rFonts w:ascii="Times New Roman" w:hAnsi="Times New Roman"/>
          <w:sz w:val="20"/>
        </w:rPr>
      </w:pPr>
      <w:r>
        <w:rPr>
          <w:rFonts w:ascii="Times New Roman" w:hAnsi="Times New Roman"/>
          <w:sz w:val="20"/>
        </w:rPr>
        <w:t xml:space="preserve">Rolling chip volume decreased to US$5.16 billion during the second quarter of 2026, compared with US$5.49 billion in the second quarter of 2025. Win rate was 2.71% in the second quarter of 2026, compared with 3.93% in the second quarter of 2025. The expected rolling chip win rate range is 2.85%-3.15%.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US$1.75 billion for each of the second quarters of 2026 and 2025. Hold percentage was 29.8% in the second quarter of 2026, compared with 30.5%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US$1.20 billion, compared with US$0.95 billion in the second quarter of 2025. Win rate was 3.6% in the second quarter of 2026, compared with 3.0%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in the second quarter of 2026 was US$89.5 million, compared with US$88.1 million in the second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Studio City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Studio City were US$371.5 million, compared with US$388.2 million in the second quarter of 2025. Studio City’s Adjusted EBITDA was US$95.5 million in the second quarter of 2026, compared with US$105.2 million in the second quarter of 2025. The year-over-year decrease in Adjusted EBITDA was primarily a result of softer mass market table games performance.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was US$884.1 million in the second quarter of 2026, compared with US$958.2 million in the second quarter of 2025. Hold percentage was 36.3% in the second quarter of 2026, compared with 34.0%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second quarter of 2026 was US$1.04 billion, compared with US$0.92 billion in the second quarter of 2025. Win rate was 3.6% in the second quarter of 2026, compared with 3.7%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Studio City was US$69.2 million in the second quarter of 2026, compared with US$83.8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Altira Macau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Altira Macau were US$33.9 million, compared with US$28.3 million in the second quarter of 2025. Altira Macau’s Adjusted EBITDA was US$2.2 million in the second quarter of 2026, compared with US$0.8 million in the second quarter of 2025. The year-over-year increase in Adjusted EBITDA was primarily a result of better mass market performance.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was US$134.0 million in the second quarter of 2026, compared with US$119.0 million in the second quarter of 2025. Hold percentage was 22.0% in the second quarter of 2026, compared with 21.3%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second quarter of 2026 was US$208.4 million, compared with US$114.9 million in the second quarter of 2025. Win rate was 3.4% in the second quarter of 2026, compared with 2.5%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Altira Macau was US$5.3 million in the second quarter of 2026, compared with US$4.8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Mocha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Prior to the fourth quarter of 2025, the Mocha and Other segment included the operations of Grand Dragon Casino before its closure in September 2025. This segment has been renamed to the Mocha segment from the fourth quarter of 2025 onwards. </w:t>
      </w:r>
    </w:p>
    <w:p>
      <w:pPr>
        <w:pStyle w:val="TextBody"/>
        <w:bidi w:val="0"/>
        <w:spacing w:before="200" w:after="0"/>
        <w:jc w:val="left"/>
        <w:rPr>
          <w:rFonts w:ascii="Times New Roman" w:hAnsi="Times New Roman"/>
          <w:sz w:val="20"/>
        </w:rPr>
      </w:pPr>
      <w:r>
        <w:rPr>
          <w:rFonts w:ascii="Times New Roman" w:hAnsi="Times New Roman"/>
          <w:sz w:val="20"/>
        </w:rPr>
        <w:t xml:space="preserve">Following the government mandated closures in 2025, the Mocha segment now includes results for three Mocha Clubs, namely Mocha Inner Harbour, Mocha Golden Dragon and Mocha Hotel Sintra. </w:t>
      </w:r>
    </w:p>
    <w:p>
      <w:pPr>
        <w:pStyle w:val="TextBody"/>
        <w:bidi w:val="0"/>
        <w:spacing w:before="200" w:after="0"/>
        <w:jc w:val="left"/>
        <w:rPr>
          <w:rFonts w:ascii="Times New Roman" w:hAnsi="Times New Roman"/>
          <w:sz w:val="20"/>
        </w:rPr>
      </w:pPr>
      <w:r>
        <w:rPr>
          <w:rFonts w:ascii="Times New Roman" w:hAnsi="Times New Roman"/>
          <w:sz w:val="20"/>
        </w:rPr>
        <w:t xml:space="preserve">Total operating revenues from Mocha were US$15.1 million in the second quarter of 2026, compared with US$27.9 million from Mocha and Other in the second quarter of 2025. Mocha’s Adjusted EBITDA was US$4.0 million in the second quarter of 2026, compared with US$5.2 million for Mocha and Other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second quarter of 2026 was US$377.0 million, compared with US$496.4 million in the second quarter of 2025. Win rate was 4.0% in the second quarter of 2026, compared with 4.1%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City of Dreams Manila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For the quarter ended June 30, 2026, total operating revenues at City of Dreams Manila were US$97.3 million, compared with US$98.5 million in the second quarter of 2025. City of Dreams Manila’s Adjusted EBITDA was US$30.9 million in the second quarter of 2026, compared with US$28.4 million in the comparable period of 2025. </w:t>
      </w:r>
    </w:p>
    <w:p>
      <w:pPr>
        <w:pStyle w:val="TextBody"/>
        <w:bidi w:val="0"/>
        <w:spacing w:before="200" w:after="0"/>
        <w:jc w:val="left"/>
        <w:rPr>
          <w:rFonts w:ascii="Times New Roman" w:hAnsi="Times New Roman"/>
          <w:sz w:val="20"/>
        </w:rPr>
      </w:pPr>
      <w:r>
        <w:rPr>
          <w:rFonts w:ascii="Times New Roman" w:hAnsi="Times New Roman"/>
          <w:sz w:val="20"/>
        </w:rPr>
        <w:t xml:space="preserve">City of Dreams Manila’s rolling chip volume was US$342.6 million in the second quarter of 2026, compared with US$694.4 million in the second quarter of 2025. Win rate was 3.67% in the second quarter of 2026, compared with 2.05% in the second quarter of 2025. The expected rolling chip win rate range is 2.85%-3.15%. </w:t>
      </w:r>
    </w:p>
    <w:p>
      <w:pPr>
        <w:pStyle w:val="TextBody"/>
        <w:bidi w:val="0"/>
        <w:spacing w:before="200" w:after="0"/>
        <w:jc w:val="left"/>
        <w:rPr>
          <w:rFonts w:ascii="Times New Roman" w:hAnsi="Times New Roman"/>
          <w:sz w:val="20"/>
        </w:rPr>
      </w:pPr>
      <w:r>
        <w:rPr>
          <w:rFonts w:ascii="Times New Roman" w:hAnsi="Times New Roman"/>
          <w:sz w:val="20"/>
        </w:rPr>
        <w:t xml:space="preserve">Mass market table games drop decreased to US$131.9 million in the second quarter of 2026, compared with US$147.9 million in the second quarter of 2025. Hold percentage was 35.4% in the second quarter of 2026, compared with 34.8%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Gaming machine handle for the second quarter of 2026 was US$0.95 billion, compared with US$1.00 billion in the second quarter of 2025. Win rate was 5.0% in the second quarter of 2026, compared with 4.6% in the second quarter of 2025. </w:t>
      </w:r>
    </w:p>
    <w:p>
      <w:pPr>
        <w:pStyle w:val="TextBody"/>
        <w:bidi w:val="0"/>
        <w:spacing w:before="200" w:after="0"/>
        <w:jc w:val="left"/>
        <w:rPr>
          <w:rFonts w:ascii="Times New Roman" w:hAnsi="Times New Roman"/>
          <w:sz w:val="20"/>
        </w:rPr>
      </w:pPr>
      <w:r>
        <w:rPr>
          <w:rFonts w:ascii="Times New Roman" w:hAnsi="Times New Roman"/>
          <w:sz w:val="20"/>
        </w:rPr>
        <w:t xml:space="preserve">Total non-gaming revenue at City of Dreams Manila in the second quarter of 2026 was US$23.3 million, compared with US$27.0 million in the second quarter of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City of Dreams Mediterranean and Other Second Quarter Results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City of Dreams Mediterranean in conjunction with three satellite casinos in Cyprus.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at City of Dreams Mediterranean and Other for the quarter ended June 30, 2026 were US$82.0 million, compared with US$72.3 million in the second quarter of 2025. City of Dreams Mediterranean and Other’s Adjusted EBITDA was US$19.9 million in the second quarter of 2026, compared with US$12.4 million in the second quarter of 2025. The year-over-year increase in Adjusted EBITDA was primarily a result of better mass market performance. </w:t>
      </w:r>
    </w:p>
    <w:p>
      <w:pPr>
        <w:pStyle w:val="TextBody"/>
        <w:bidi w:val="0"/>
        <w:spacing w:before="240" w:after="0"/>
        <w:jc w:val="left"/>
        <w:rPr>
          <w:rFonts w:ascii="Times New Roman" w:hAnsi="Times New Roman"/>
          <w:sz w:val="20"/>
        </w:rPr>
      </w:pPr>
      <w:r>
        <w:rPr>
          <w:rFonts w:ascii="Times New Roman" w:hAnsi="Times New Roman"/>
          <w:sz w:val="20"/>
        </w:rPr>
        <w:t xml:space="preserve">Rolling chip volume was US$0.1 million for the second quarter of 2026, compared with US$0.7 million in the second quarter of 2025. Win rate was negative 29.66% in the second quarter of 2026, compared with 7.28% in the second quarter of 2025. The expected rolling chip win rate range is 2.85%-3.15%. The significant movement in the rolling chip win rate resulted from low gaming volumes. </w:t>
      </w:r>
    </w:p>
    <w:p>
      <w:pPr>
        <w:pStyle w:val="TextBody"/>
        <w:bidi w:val="0"/>
        <w:spacing w:before="240" w:after="0"/>
        <w:jc w:val="left"/>
        <w:rPr>
          <w:rFonts w:ascii="Times New Roman" w:hAnsi="Times New Roman"/>
          <w:sz w:val="20"/>
        </w:rPr>
      </w:pPr>
      <w:r>
        <w:rPr>
          <w:rFonts w:ascii="Times New Roman" w:hAnsi="Times New Roman"/>
          <w:sz w:val="20"/>
        </w:rPr>
        <w:t xml:space="preserve">Mass market table games drop was US$175.7 million in the second quarter of 2026, compared with US$161.8 million in the second quarter of 2025. Hold percentage was 22.1% in the second quarter of 2026, compared with 21.9%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Gaming machine handle for the second quarter of 2026 was US$727.7 million, compared with US$668.1 million in the second quarter of 2025. Win rate was 5.1% in the second quarter of 2026, compared with 4.9% in the second quarter of 2025. </w:t>
      </w:r>
    </w:p>
    <w:p>
      <w:pPr>
        <w:pStyle w:val="TextBody"/>
        <w:bidi w:val="0"/>
        <w:spacing w:before="240" w:after="0"/>
        <w:jc w:val="left"/>
        <w:rPr>
          <w:rFonts w:ascii="Times New Roman" w:hAnsi="Times New Roman"/>
          <w:sz w:val="20"/>
        </w:rPr>
      </w:pPr>
      <w:r>
        <w:rPr>
          <w:rFonts w:ascii="Times New Roman" w:hAnsi="Times New Roman"/>
          <w:sz w:val="20"/>
        </w:rPr>
        <w:t xml:space="preserve">Total non-gaming revenue at City of Dreams Mediterranean and Other in the second quarter of 2026 was US$24.4 million, compared with US$25.4 million in the second quarter of 2025. </w:t>
      </w:r>
    </w:p>
    <w:p>
      <w:pPr>
        <w:pStyle w:val="TextBody"/>
        <w:bidi w:val="0"/>
        <w:spacing w:before="360" w:after="0"/>
        <w:jc w:val="left"/>
        <w:rPr>
          <w:rFonts w:ascii="Times New Roman" w:hAnsi="Times New Roman"/>
          <w:b/>
          <w:sz w:val="20"/>
        </w:rPr>
      </w:pPr>
      <w:r>
        <w:rPr>
          <w:rFonts w:ascii="Times New Roman" w:hAnsi="Times New Roman"/>
          <w:b/>
          <w:sz w:val="20"/>
        </w:rPr>
        <w:t xml:space="preserve">Other Operations </w:t>
      </w:r>
    </w:p>
    <w:p>
      <w:pPr>
        <w:pStyle w:val="TextBody"/>
        <w:bidi w:val="0"/>
        <w:spacing w:before="120" w:after="0"/>
        <w:jc w:val="left"/>
        <w:rPr>
          <w:rFonts w:ascii="Times New Roman" w:hAnsi="Times New Roman"/>
          <w:sz w:val="20"/>
        </w:rPr>
      </w:pPr>
      <w:r>
        <w:rPr>
          <w:rFonts w:ascii="Times New Roman" w:hAnsi="Times New Roman"/>
          <w:sz w:val="20"/>
        </w:rPr>
        <w:t xml:space="preserve">Other Operations include the Company’s casino operations at City of Dreams Sri Lanka, which opened on August 1, 2025, and provision of management services to the Nüwa hotel at City of Dreams Sri Lanka, which opened to the public on July 15, 2025. </w:t>
      </w:r>
    </w:p>
    <w:p>
      <w:pPr>
        <w:pStyle w:val="TextBody"/>
        <w:bidi w:val="0"/>
        <w:spacing w:before="240" w:after="0"/>
        <w:jc w:val="left"/>
        <w:rPr>
          <w:rFonts w:ascii="Times New Roman" w:hAnsi="Times New Roman"/>
          <w:sz w:val="20"/>
        </w:rPr>
      </w:pPr>
      <w:r>
        <w:rPr>
          <w:rFonts w:ascii="Times New Roman" w:hAnsi="Times New Roman"/>
          <w:sz w:val="20"/>
        </w:rPr>
        <w:t xml:space="preserve">Total operating revenues from Other Operations were US$16.9 million for the quarter ended June 30, 2026. Adjusted EBITDA from Other Operations was US$3.5 million in the second quarter of 2026. </w:t>
      </w:r>
    </w:p>
    <w:p>
      <w:pPr>
        <w:pStyle w:val="TextBody"/>
        <w:bidi w:val="0"/>
        <w:spacing w:before="360" w:after="0"/>
        <w:jc w:val="left"/>
        <w:rPr>
          <w:rFonts w:ascii="Times New Roman" w:hAnsi="Times New Roman"/>
          <w:b/>
          <w:sz w:val="20"/>
        </w:rPr>
      </w:pPr>
      <w:r>
        <w:rPr>
          <w:rFonts w:ascii="Times New Roman" w:hAnsi="Times New Roman"/>
          <w:b/>
          <w:sz w:val="20"/>
        </w:rPr>
        <w:t xml:space="preserve">Other Factors Affecting Earnings </w:t>
      </w:r>
    </w:p>
    <w:p>
      <w:pPr>
        <w:pStyle w:val="TextBody"/>
        <w:bidi w:val="0"/>
        <w:spacing w:before="120" w:after="0"/>
        <w:jc w:val="left"/>
        <w:rPr>
          <w:rFonts w:ascii="Times New Roman" w:hAnsi="Times New Roman"/>
          <w:sz w:val="20"/>
        </w:rPr>
      </w:pPr>
      <w:r>
        <w:rPr>
          <w:rFonts w:ascii="Times New Roman" w:hAnsi="Times New Roman"/>
          <w:sz w:val="20"/>
        </w:rPr>
        <w:t xml:space="preserve">Total net non-operating expenses for the second quarter of 2026 were US$109.5 million, which mainly included interest expense, net of amounts capitalized, of US$111.0 million. </w:t>
      </w:r>
    </w:p>
    <w:p>
      <w:pPr>
        <w:pStyle w:val="TextBody"/>
        <w:bidi w:val="0"/>
        <w:spacing w:before="240" w:after="0"/>
        <w:jc w:val="left"/>
        <w:rPr>
          <w:rFonts w:ascii="Times New Roman" w:hAnsi="Times New Roman"/>
          <w:sz w:val="20"/>
        </w:rPr>
      </w:pPr>
      <w:r>
        <w:rPr>
          <w:rFonts w:ascii="Times New Roman" w:hAnsi="Times New Roman"/>
          <w:sz w:val="20"/>
        </w:rPr>
        <w:t xml:space="preserve">Depreciation and amortization costs of US$135.7 million were recorded in the second quarter of 2026, of which US$5.0 million related to the amortization expense for land use rights. </w:t>
      </w:r>
    </w:p>
    <w:p>
      <w:pPr>
        <w:pStyle w:val="TextBody"/>
        <w:bidi w:val="0"/>
        <w:spacing w:before="240" w:after="0"/>
        <w:jc w:val="left"/>
        <w:rPr>
          <w:rFonts w:ascii="Times New Roman" w:hAnsi="Times New Roman"/>
          <w:sz w:val="20"/>
        </w:rPr>
      </w:pPr>
      <w:r>
        <w:rPr>
          <w:rFonts w:ascii="Times New Roman" w:hAnsi="Times New Roman"/>
          <w:sz w:val="20"/>
        </w:rPr>
        <w:t xml:space="preserve">Adjusted EBITDA for Studio City for the three months ended June 30, 2026 referred to above was US$28.5 million more than the Adjusted EBITDA of Studio City reported in the earnings release for Studio City International Holdings Limited (“SCIHL”) dated August 13, 2026 (the “Studio City Earnings Release”). Adjusted EBITDA of Studio City reported in the Studio City Earnings Release includes certain intercompany charges that are not included in Adjusted EBITDA for Studio City reported in this press release. Such intercompany charges include, among other items, fees and shared service charges billed between SCIHL and its subsidiaries and certain subsidiaries of Melco Resorts. Additionally, Adjusted EBITDA of Studio City presented in this press release does not reflect certain gaming concession related costs and certain intercompany costs related to the gaming operations at Studio City Casino. </w:t>
      </w:r>
    </w:p>
    <w:p>
      <w:pPr>
        <w:pStyle w:val="TextBody"/>
        <w:bidi w:val="0"/>
        <w:spacing w:before="360" w:after="0"/>
        <w:jc w:val="left"/>
        <w:rPr>
          <w:rFonts w:ascii="Times New Roman" w:hAnsi="Times New Roman"/>
          <w:b/>
          <w:sz w:val="20"/>
        </w:rPr>
      </w:pPr>
      <w:r>
        <w:rPr>
          <w:rFonts w:ascii="Times New Roman" w:hAnsi="Times New Roman"/>
          <w:b/>
          <w:sz w:val="20"/>
        </w:rPr>
        <w:t xml:space="preserve">Financial Position and Capital Expenditures </w:t>
      </w:r>
    </w:p>
    <w:p>
      <w:pPr>
        <w:pStyle w:val="TextBody"/>
        <w:bidi w:val="0"/>
        <w:spacing w:before="120" w:after="0"/>
        <w:jc w:val="left"/>
        <w:rPr>
          <w:rFonts w:ascii="Times New Roman" w:hAnsi="Times New Roman"/>
          <w:sz w:val="20"/>
        </w:rPr>
      </w:pPr>
      <w:r>
        <w:rPr>
          <w:rFonts w:ascii="Times New Roman" w:hAnsi="Times New Roman"/>
          <w:sz w:val="20"/>
        </w:rPr>
        <w:t xml:space="preserve">Total cash and bank balances as of June 30, 2026 aggregated to US$1.04 billion, including US$124.3 million of restricted cash. </w:t>
      </w:r>
    </w:p>
    <w:p>
      <w:pPr>
        <w:pStyle w:val="TextBody"/>
        <w:bidi w:val="0"/>
        <w:spacing w:before="240" w:after="0"/>
        <w:jc w:val="left"/>
        <w:rPr>
          <w:rFonts w:ascii="Times New Roman" w:hAnsi="Times New Roman"/>
          <w:sz w:val="20"/>
        </w:rPr>
      </w:pPr>
      <w:r>
        <w:rPr>
          <w:rFonts w:ascii="Times New Roman" w:hAnsi="Times New Roman"/>
          <w:sz w:val="20"/>
        </w:rPr>
        <w:t xml:space="preserve">Total debt, net of unamortized deferred financing costs and original issue premiums, was US$7.05 billion at the end of the second quarter of 2026. </w:t>
      </w:r>
    </w:p>
    <w:p>
      <w:pPr>
        <w:pStyle w:val="TextBody"/>
        <w:bidi w:val="0"/>
        <w:spacing w:before="240" w:after="0"/>
        <w:jc w:val="left"/>
        <w:rPr>
          <w:rFonts w:ascii="Times New Roman" w:hAnsi="Times New Roman"/>
          <w:sz w:val="20"/>
        </w:rPr>
      </w:pPr>
      <w:r>
        <w:rPr>
          <w:rFonts w:ascii="Times New Roman" w:hAnsi="Times New Roman"/>
          <w:sz w:val="20"/>
        </w:rPr>
        <w:t xml:space="preserve">During the quarter ended June 30, 2026, MCO Nominee One Limited drew down HK$3.27 billion (equivalent to US$416.7 million) principal amount outstanding under its revolving credit facilities (the “MN1 2020 Revolving Facilities”). On June 9, 2026, the Company announced that the maturity date of the MN1 2020 Revolving Facilities was extended from April 2027 to June 2031 and an incremental facility of HK$6.44 billion (equivalent to US$821.0 million) was established such that the total commitments under the MN1 2020 Revolving Facilities increased to HK$21.68 billion (equivalent to US$2.76 billion).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May 15, 2026, Studio City Company Limited (“SCC”) issued US$300.0 million in aggregate principal amount of 6.125% senior secured notes due 2031 (“2031 SCC Senior Secured Notes”). The net proceeds from the issuance of the 2031 SCC Senior Secured Notes, together with a HK$118.0 million (equivalent to US$15.1 million) drawdown from SCC’s senior secured credit facility, and cash on hand, was utilized to refinance US$350.0 million in aggregate principal amount of the 7.000% senior secured notes due 2027. </w:t>
      </w:r>
    </w:p>
    <w:p>
      <w:pPr>
        <w:pStyle w:val="TextBody"/>
        <w:bidi w:val="0"/>
        <w:spacing w:before="240" w:after="0"/>
        <w:jc w:val="left"/>
        <w:rPr>
          <w:rFonts w:ascii="Times New Roman" w:hAnsi="Times New Roman"/>
          <w:sz w:val="20"/>
        </w:rPr>
      </w:pPr>
      <w:r>
        <w:rPr>
          <w:rFonts w:ascii="Times New Roman" w:hAnsi="Times New Roman"/>
          <w:sz w:val="20"/>
        </w:rPr>
        <w:t xml:space="preserve">Subsequent to quarter end, on July 18, 2026, Studio City Finance Limited redeemed an aggregate principal amount of US$165.0 million of its outstanding 6.500% senior notes due 2028 pursuant to the notice of partial redemption dated June 18, 2026. The redemption was funded with a HK$1.18 billion (equivalent to US$150.5 million) drawdown from SCC’s senior secured credit facility. All of the redeemed notes have been cancelled. </w:t>
      </w:r>
    </w:p>
    <w:p>
      <w:pPr>
        <w:pStyle w:val="TextBody"/>
        <w:bidi w:val="0"/>
        <w:spacing w:before="240" w:after="0"/>
        <w:jc w:val="left"/>
        <w:rPr>
          <w:rFonts w:ascii="Times New Roman" w:hAnsi="Times New Roman"/>
          <w:sz w:val="20"/>
        </w:rPr>
      </w:pPr>
      <w:r>
        <w:rPr>
          <w:rFonts w:ascii="Times New Roman" w:hAnsi="Times New Roman"/>
          <w:sz w:val="20"/>
        </w:rPr>
        <w:t xml:space="preserve">Available liquidity, including cash and undrawn revolving credit facilities as of June 30, 2026 was approximately US$2.80 billion. </w:t>
      </w:r>
    </w:p>
    <w:p>
      <w:pPr>
        <w:pStyle w:val="TextBody"/>
        <w:bidi w:val="0"/>
        <w:spacing w:before="240" w:after="0"/>
        <w:jc w:val="left"/>
        <w:rPr>
          <w:rFonts w:ascii="Times New Roman" w:hAnsi="Times New Roman"/>
          <w:sz w:val="20"/>
        </w:rPr>
      </w:pPr>
      <w:r>
        <w:rPr>
          <w:rFonts w:ascii="Times New Roman" w:hAnsi="Times New Roman"/>
          <w:sz w:val="20"/>
        </w:rPr>
        <w:t xml:space="preserve">Capital expenditures for the second quarter of 2026 were US$123.9 million, which mainly included costs related to enhancement projects at City of Dreams in Macau as well as City of Dreams Mediterranean and Other. </w:t>
      </w:r>
    </w:p>
    <w:p>
      <w:pPr>
        <w:pStyle w:val="TextBody"/>
        <w:bidi w:val="0"/>
        <w:spacing w:before="360" w:after="0"/>
        <w:jc w:val="left"/>
        <w:rPr>
          <w:rFonts w:ascii="Times New Roman" w:hAnsi="Times New Roman"/>
          <w:b/>
          <w:sz w:val="20"/>
        </w:rPr>
      </w:pPr>
      <w:r>
        <w:rPr>
          <w:rFonts w:ascii="Times New Roman" w:hAnsi="Times New Roman"/>
          <w:b/>
          <w:sz w:val="20"/>
        </w:rPr>
        <w:t xml:space="preserve">Share Repurchase Programs </w:t>
      </w:r>
    </w:p>
    <w:p>
      <w:pPr>
        <w:pStyle w:val="TextBody"/>
        <w:bidi w:val="0"/>
        <w:spacing w:before="120" w:after="0"/>
        <w:jc w:val="left"/>
        <w:rPr>
          <w:rFonts w:ascii="Times New Roman" w:hAnsi="Times New Roman"/>
          <w:sz w:val="20"/>
        </w:rPr>
      </w:pPr>
      <w:r>
        <w:rPr>
          <w:rFonts w:ascii="Times New Roman" w:hAnsi="Times New Roman"/>
          <w:sz w:val="20"/>
        </w:rPr>
        <w:t xml:space="preserve">During the period from April 1, 2026 to August 12, 2026, Melco Resorts repurchased approximately 22.4 million ADSs (representing approximately 67.1 million ordinary shares) from the open market at an aggregate purchase price of approximately US$120.6 million. As of August 12, 2026, the Company has remaining authority to repurchase up to approximately US$589.6 million of its equity. </w:t>
      </w:r>
    </w:p>
    <w:p>
      <w:pPr>
        <w:pStyle w:val="TextBody"/>
        <w:bidi w:val="0"/>
        <w:spacing w:before="360" w:after="0"/>
        <w:jc w:val="left"/>
        <w:rPr>
          <w:rFonts w:ascii="Times New Roman" w:hAnsi="Times New Roman"/>
          <w:b/>
          <w:sz w:val="20"/>
        </w:rPr>
      </w:pPr>
      <w:r>
        <w:rPr>
          <w:rFonts w:ascii="Times New Roman" w:hAnsi="Times New Roman"/>
          <w:b/>
          <w:sz w:val="20"/>
        </w:rPr>
        <w:t xml:space="preserve">Conference Call Information </w:t>
      </w:r>
    </w:p>
    <w:p>
      <w:pPr>
        <w:pStyle w:val="TextBody"/>
        <w:bidi w:val="0"/>
        <w:spacing w:before="120" w:after="0"/>
        <w:jc w:val="left"/>
        <w:rPr>
          <w:rFonts w:ascii="Times New Roman" w:hAnsi="Times New Roman"/>
          <w:sz w:val="20"/>
        </w:rPr>
      </w:pPr>
      <w:r>
        <w:rPr>
          <w:rFonts w:ascii="Times New Roman" w:hAnsi="Times New Roman"/>
          <w:sz w:val="20"/>
        </w:rPr>
        <w:t xml:space="preserve">Melco Resorts &amp; Entertainment Limited will hold a conference call to discuss its second quarter 2026 financial results on Thursday, August 13, 2026 at 8:30 a.m. Eastern Time (or 8:30 p.m. Singapore Time). </w:t>
      </w:r>
    </w:p>
    <w:p>
      <w:pPr>
        <w:pStyle w:val="TextBody"/>
        <w:bidi w:val="0"/>
        <w:spacing w:before="240" w:after="0"/>
        <w:jc w:val="left"/>
        <w:rPr>
          <w:rFonts w:ascii="Times New Roman" w:hAnsi="Times New Roman"/>
          <w:sz w:val="20"/>
        </w:rPr>
      </w:pPr>
      <w:r>
        <w:rPr>
          <w:rFonts w:ascii="Times New Roman" w:hAnsi="Times New Roman"/>
          <w:sz w:val="20"/>
        </w:rPr>
        <w:t xml:space="preserve">To join the conference call, please register in advance using the below Online Registration Link. Upon registering, each participant will receive the dial-in numbers, passcode and a unique Personal PIN which can be used to join the conference. </w:t>
      </w:r>
    </w:p>
    <w:p>
      <w:pPr>
        <w:pStyle w:val="TextBody"/>
        <w:bidi w:val="0"/>
        <w:spacing w:before="240" w:after="0"/>
        <w:jc w:val="left"/>
        <w:rPr>
          <w:rFonts w:ascii="Times New Roman" w:hAnsi="Times New Roman"/>
          <w:sz w:val="20"/>
        </w:rPr>
      </w:pPr>
      <w:r>
        <w:rPr>
          <w:rFonts w:ascii="Times New Roman" w:hAnsi="Times New Roman"/>
          <w:sz w:val="20"/>
        </w:rPr>
        <w:t xml:space="preserve">Online Registration Link: </w:t>
      </w:r>
      <w:r>
        <w:rPr>
          <w:rFonts w:ascii="Times New Roman" w:hAnsi="Times New Roman"/>
          <w:sz w:val="20"/>
          <w:u w:val="single"/>
        </w:rPr>
        <w:t>https://s1.c-conf.com/diamondpass/10055249-7qhfkc.html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An audio webcast and replay of the conference call will also be available at </w:t>
      </w:r>
      <w:r>
        <w:rPr>
          <w:rFonts w:ascii="Times New Roman" w:hAnsi="Times New Roman"/>
          <w:sz w:val="20"/>
          <w:u w:val="single"/>
        </w:rPr>
        <w:t>http://www.melco-resorts.com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These statements are made under the “safe harbor” provisions of the U.S. Private Securities Litigation Reform Act of 1995. Melco Resorts &amp; Entertainment Limited (the “Company”) may also make forward-looking statements in its periodic reports to the U.S. Securities and Exchange Commission (the “SEC”), in its annual report to shareholders, in press releases and other written materials and in oral statements made by its officers, directors or employees to third parties.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These factors include, but are not limited to, (i) changes in the gaming market and visitations in Macau, the Philippines, the Republic of Cyprus and Sri Lanka, (ii) local and global economic conditions, (iii) capital and credit market volatility, (iv) our anticipated growth strategies, (v) risks associated with the implementation of the amended Macau gaming law by the Macau government, (vi) gaming authority and other governmental approvals and regulations, and (vii) our future business development, results of operations and financial condition.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undertakes no duty to update such information, except as required under applicable law.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t>“</w:t>
            </w:r>
            <w:r>
              <w:rPr>
                <w:rFonts w:ascii="Times New Roman" w:hAnsi="Times New Roman"/>
                <w:sz w:val="20"/>
              </w:rPr>
              <w:t xml:space="preserve">Adjusted EBITDA” is net income/loss before interest, taxes, depreciation, amortization, pre-opening costs, development costs, property charges and other, share-based compensation, payments to the Philippine parties under the cooperative arrangement (the “Philippine Parties”), integrated resort and casino rent and other non-operating income and expenses. “Adjusted Property EBITDA” is net income/loss before interest, taxes, depreciation, amortization, pre-opening costs, development costs, property charges and other, share-based compensation, payments to the Philippine Parties, integrated resort and casino rent, Corporate and Other expenses and other non-operating income and expenses. Adjusted EBITDA and Adjusted Property EBITDA, which are non-GAAP financial measures, are presented as supplemental disclosures because management believes they are widely used to measure the performance, and as a basis for valuation, of gaming companies. Management uses Adjusted EBITDA and Adjusted Property EBITDA to measure the operating performance of our segments and to compare the operating performance of our properties with those of our competitors.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also presents Adjusted EBITDA and Adjusted Property EBITDA because they are used by some investors as ways to measure a company’s ability to incur and service debt, make capital expenditures, and meet working capital requirements. Gaming companies have historically reported similar measures as supplements to financial measures in accordance with generally accepted accounting principles, in particular, U.S. GAAP or International Financial Reporting Standards. However, Adjusted EBITDA and Adjusted Property EBITDA should not be considered as alternatives to operating income/loss as indicators of the Company’s performance, as alternatives to cash flows from operating activities as measures of liquidity, or as alternatives to any other measure determined in accordance with U.S. GAAP. Unlike net income/loss, Adjusted EBITDA and Adjusted Property EBITDA do not include depreciation and amortization or interest expense and, therefore, do not reflect current or future capital expenditures or the cost of capital. The Company recognizes these limitations and uses Adjusted EBITDA and Adjusted Property EBITDA as only two of several comparative tools, together with U.S. GAAP measurements, to assist in the evaluation of operating performance. </w:t>
      </w:r>
    </w:p>
    <w:p>
      <w:pPr>
        <w:pStyle w:val="TextBody"/>
        <w:bidi w:val="0"/>
        <w:spacing w:before="120" w:after="0"/>
        <w:jc w:val="left"/>
        <w:rPr>
          <w:rFonts w:ascii="Times New Roman" w:hAnsi="Times New Roman"/>
          <w:sz w:val="20"/>
        </w:rPr>
      </w:pPr>
      <w:r>
        <w:rPr>
          <w:rFonts w:ascii="Times New Roman" w:hAnsi="Times New Roman"/>
          <w:sz w:val="20"/>
        </w:rPr>
        <w:t xml:space="preserve">Such U.S. GAAP measurements include operating income/loss, net income/loss, cash flows from operations and cash flow data. The Company has significant uses of cash flows, including capital expenditures, interest payments, debt principal repayments, taxes and other recurring and nonrecurring charges, which are not reflected in Adjusted EBITDA or Adjusted Property EBITDA. Also, the Company’s calculation of Adjusted EBITDA and Adjusted Property EBITDA may be different from the calculation methods used by other companies and, therefore, comparability may be limited. The use of Adjusted Property EBITDA and Adjusted EBITDA has material limitations as an analytical tool, as Adjusted Property EBITDA and Adjusted EBITDA do not include all items that impact our net income/loss. Investors are encouraged to review the reconciliation of the historical non-GAAP financial measure to its most directly comparable GAAP financial measure. Reconciliations of Adjusted EBITDA and Adjusted Property EBITDA with the most comparable financial measures calculated and presented in accordance with U.S. GAAP are provided herein immediately following the financial statements included in this press release.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pPr>
            <w:r>
              <w:rPr/>
              <w:t>“</w:t>
            </w:r>
            <w:r>
              <w:rPr>
                <w:rFonts w:ascii="Times New Roman" w:hAnsi="Times New Roman"/>
                <w:sz w:val="20"/>
              </w:rPr>
              <w:t xml:space="preserve">Adjusted net income/loss attributable to Melco Resorts &amp; Entertainment Limited” is net income/loss attributable to Melco Resorts &amp; Entertainment Limited before pre-opening costs, development costs, property charges and other and loss on extinguishment of debt, net of noncontrolling interests and taxes calculated using specific tax treatments applicable to the adjustments based on their respective jurisdictions. Adjusted net income/loss attributable to Melco Resorts &amp; Entertainment Limited and adjusted net income/loss attributable to Melco Resorts &amp; Entertainment Limited per share (“EPS”), which are non-GAAP financial measures, are presented as supplemental disclosures because management believes they are widely used to measure the performance, and as a basis for valuation, of gaming companies. These measures are used by management and/or evaluated by some investors, in addition to income/loss and EPS computed in accordance with U.S. GAAP, as an additional basis for assessing period-to-period results of our business. Adjusted net income/loss attributable to Melco Resorts &amp; Entertainment Limited and adjusted net income/loss attributable to Melco Resorts &amp; Entertainment Limited per share may be different from the calculation methods used by other companies and, therefore, comparability may be limited. Reconciliations of adjusted net income/loss attributable to Melco Resorts &amp; Entertainment Limited with the most comparable financial measures calculated and presented in accordance with U.S. GAAP are provided herein immediately following the financial statements included in this press release.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About Melco Resorts &amp; Entertainment Limited </w:t>
      </w:r>
    </w:p>
    <w:p>
      <w:pPr>
        <w:pStyle w:val="TextBody"/>
        <w:bidi w:val="0"/>
        <w:spacing w:before="120" w:after="0"/>
        <w:jc w:val="left"/>
        <w:rPr>
          <w:rFonts w:ascii="Times New Roman" w:hAnsi="Times New Roman"/>
          <w:sz w:val="20"/>
        </w:rPr>
      </w:pPr>
      <w:r>
        <w:rPr>
          <w:rFonts w:ascii="Times New Roman" w:hAnsi="Times New Roman"/>
          <w:sz w:val="20"/>
        </w:rPr>
        <w:t>The Company, with its American depositary shares listed on the Nasdaq Global Select Market (Nasdaq: MLCO), is a developer, owner and operator of integrated resort facilities in Asia and Europe. The Company currently operates City of Dreams (</w:t>
      </w:r>
      <w:r>
        <w:rPr>
          <w:rFonts w:ascii="Times New Roman" w:hAnsi="Times New Roman"/>
          <w:sz w:val="20"/>
          <w:u w:val="single"/>
        </w:rPr>
        <w:t>www.cityofdreamsmacau.com</w:t>
      </w:r>
      <w:r>
        <w:rPr>
          <w:rFonts w:ascii="Times New Roman" w:hAnsi="Times New Roman"/>
          <w:sz w:val="20"/>
        </w:rPr>
        <w:t>) and Altira Macau (</w:t>
      </w:r>
      <w:r>
        <w:rPr>
          <w:rFonts w:ascii="Times New Roman" w:hAnsi="Times New Roman"/>
          <w:sz w:val="20"/>
          <w:u w:val="single"/>
        </w:rPr>
        <w:t>www.altiramacau.com</w:t>
      </w:r>
      <w:r>
        <w:rPr>
          <w:rFonts w:ascii="Times New Roman" w:hAnsi="Times New Roman"/>
          <w:sz w:val="20"/>
        </w:rPr>
        <w:t>), integrated resorts located in Cotai and Taipa, Macau, respectively. Its business also includes the Mocha Clubs (</w:t>
      </w:r>
      <w:r>
        <w:rPr>
          <w:rFonts w:ascii="Times New Roman" w:hAnsi="Times New Roman"/>
          <w:sz w:val="20"/>
          <w:u w:val="single"/>
        </w:rPr>
        <w:t>www.mochaclubs.com</w:t>
      </w:r>
      <w:r>
        <w:rPr>
          <w:rFonts w:ascii="Times New Roman" w:hAnsi="Times New Roman"/>
          <w:sz w:val="20"/>
        </w:rPr>
        <w:t>), the only non-casino based operation of electronic gaming machines in Macau. In addition, the Company operates Studio City (</w:t>
      </w:r>
      <w:r>
        <w:rPr>
          <w:rFonts w:ascii="Times New Roman" w:hAnsi="Times New Roman"/>
          <w:sz w:val="20"/>
          <w:u w:val="single"/>
        </w:rPr>
        <w:t>www.studiocity-macau.com</w:t>
      </w:r>
      <w:r>
        <w:rPr>
          <w:rFonts w:ascii="Times New Roman" w:hAnsi="Times New Roman"/>
          <w:sz w:val="20"/>
        </w:rPr>
        <w:t>), a cinematically-themed integrated resort in Cotai, Macau. In the Philippines, the Company operates and manages City of Dreams Manila (</w:t>
      </w:r>
      <w:r>
        <w:rPr>
          <w:rFonts w:ascii="Times New Roman" w:hAnsi="Times New Roman"/>
          <w:sz w:val="20"/>
          <w:u w:val="single"/>
        </w:rPr>
        <w:t>www.cityofdreamsmanila.com</w:t>
      </w:r>
      <w:r>
        <w:rPr>
          <w:rFonts w:ascii="Times New Roman" w:hAnsi="Times New Roman"/>
          <w:sz w:val="20"/>
        </w:rPr>
        <w:t>), an integrated resort in the Entertainment City complex in Manila. In Europe, the Company operates City of Dreams Mediterranean, an integrated resort in Limassol, in the Republic of Cyprus (</w:t>
      </w:r>
      <w:r>
        <w:rPr>
          <w:rFonts w:ascii="Times New Roman" w:hAnsi="Times New Roman"/>
          <w:sz w:val="20"/>
          <w:u w:val="single"/>
        </w:rPr>
        <w:t>www.cityofdreamsmed.com.cy</w:t>
      </w:r>
      <w:r>
        <w:rPr>
          <w:rFonts w:ascii="Times New Roman" w:hAnsi="Times New Roman"/>
          <w:sz w:val="20"/>
        </w:rPr>
        <w:t>) and licensed satellite casinos in other cities in Cyprus (the “Cyprus Casinos”). In South Asia, the Company operates the casino and manages the Nüwa hotel at City of Dreams Sri Lanka (</w:t>
      </w:r>
      <w:r>
        <w:rPr>
          <w:rFonts w:ascii="Times New Roman" w:hAnsi="Times New Roman"/>
          <w:sz w:val="20"/>
          <w:u w:val="single"/>
        </w:rPr>
        <w:t>www.cityofdreamssrilanka.com</w:t>
      </w:r>
      <w:r>
        <w:rPr>
          <w:rFonts w:ascii="Times New Roman" w:hAnsi="Times New Roman"/>
          <w:sz w:val="20"/>
        </w:rPr>
        <w:t xml:space="preserve">), an integrated resort in Colombo, Sri Lanka. For more information about the Company, please visit </w:t>
      </w:r>
      <w:r>
        <w:rPr>
          <w:rFonts w:ascii="Times New Roman" w:hAnsi="Times New Roman"/>
          <w:sz w:val="20"/>
          <w:u w:val="single"/>
        </w:rPr>
        <w:t>www.melco-resorts.com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majority owned by Melco International Development Limited, a company listed on the Main Board of The Stock Exchange of Hong Kong Limited, which is in turn majority owned and led by Mr. Lawrence Ho, who is the Chairman, Executive Director and Chief Executive Officer of the Company. </w:t>
      </w:r>
    </w:p>
    <w:p>
      <w:pPr>
        <w:pStyle w:val="TextBody"/>
        <w:bidi w:val="0"/>
        <w:spacing w:before="360" w:after="0"/>
        <w:jc w:val="left"/>
        <w:rPr>
          <w:rFonts w:ascii="Times New Roman" w:hAnsi="Times New Roman"/>
          <w:b/>
          <w:sz w:val="20"/>
        </w:rPr>
      </w:pPr>
      <w:r>
        <w:rPr>
          <w:rFonts w:ascii="Times New Roman" w:hAnsi="Times New Roman"/>
          <w:b/>
          <w:sz w:val="20"/>
        </w:rPr>
        <w:t xml:space="preserve">For the investment community,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Jeanny Kim </w:t>
      </w:r>
    </w:p>
    <w:p>
      <w:pPr>
        <w:pStyle w:val="TextBody"/>
        <w:bidi w:val="0"/>
        <w:spacing w:before="0" w:after="0"/>
        <w:jc w:val="left"/>
        <w:rPr>
          <w:rFonts w:ascii="Times New Roman" w:hAnsi="Times New Roman"/>
          <w:sz w:val="20"/>
        </w:rPr>
      </w:pPr>
      <w:r>
        <w:rPr>
          <w:rFonts w:ascii="Times New Roman" w:hAnsi="Times New Roman"/>
          <w:sz w:val="20"/>
        </w:rPr>
        <w:t xml:space="preserve">Senior Vice President, Group Treasurer </w:t>
      </w:r>
    </w:p>
    <w:p>
      <w:pPr>
        <w:pStyle w:val="TextBody"/>
        <w:bidi w:val="0"/>
        <w:spacing w:before="0" w:after="0"/>
        <w:jc w:val="left"/>
        <w:rPr>
          <w:rFonts w:ascii="Times New Roman" w:hAnsi="Times New Roman"/>
          <w:sz w:val="20"/>
        </w:rPr>
      </w:pPr>
      <w:r>
        <w:rPr>
          <w:rFonts w:ascii="Times New Roman" w:hAnsi="Times New Roman"/>
          <w:sz w:val="20"/>
        </w:rPr>
        <w:t xml:space="preserve">Tel: +852 2598 3698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jeannykim@melco-resorts.com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 media enquiries, please contact: </w:t>
      </w:r>
    </w:p>
    <w:p>
      <w:pPr>
        <w:pStyle w:val="TextBody"/>
        <w:bidi w:val="0"/>
        <w:spacing w:before="120" w:after="0"/>
        <w:jc w:val="left"/>
        <w:rPr>
          <w:rFonts w:ascii="Times New Roman" w:hAnsi="Times New Roman"/>
          <w:sz w:val="20"/>
        </w:rPr>
      </w:pPr>
      <w:r>
        <w:rPr>
          <w:rFonts w:ascii="Times New Roman" w:hAnsi="Times New Roman"/>
          <w:sz w:val="20"/>
        </w:rPr>
        <w:t xml:space="preserve">Chimmy Leung </w:t>
      </w:r>
    </w:p>
    <w:p>
      <w:pPr>
        <w:pStyle w:val="TextBody"/>
        <w:bidi w:val="0"/>
        <w:spacing w:before="0" w:after="0"/>
        <w:jc w:val="left"/>
        <w:rPr>
          <w:rFonts w:ascii="Times New Roman" w:hAnsi="Times New Roman"/>
          <w:sz w:val="20"/>
        </w:rPr>
      </w:pPr>
      <w:r>
        <w:rPr>
          <w:rFonts w:ascii="Times New Roman" w:hAnsi="Times New Roman"/>
          <w:sz w:val="20"/>
        </w:rPr>
        <w:t xml:space="preserve">Executive Director, Corporate Communications </w:t>
      </w:r>
    </w:p>
    <w:p>
      <w:pPr>
        <w:pStyle w:val="TextBody"/>
        <w:bidi w:val="0"/>
        <w:spacing w:before="0" w:after="0"/>
        <w:jc w:val="left"/>
        <w:rPr>
          <w:rFonts w:ascii="Times New Roman" w:hAnsi="Times New Roman"/>
          <w:sz w:val="20"/>
        </w:rPr>
      </w:pPr>
      <w:r>
        <w:rPr>
          <w:rFonts w:ascii="Times New Roman" w:hAnsi="Times New Roman"/>
          <w:sz w:val="20"/>
        </w:rPr>
        <w:t xml:space="preserve">Tel: +852 3151 3765 </w:t>
      </w:r>
    </w:p>
    <w:p>
      <w:pPr>
        <w:pStyle w:val="TextBody"/>
        <w:bidi w:val="0"/>
        <w:spacing w:before="0" w:after="0"/>
        <w:jc w:val="left"/>
        <w:rPr>
          <w:rFonts w:ascii="Times New Roman" w:hAnsi="Times New Roman"/>
          <w:sz w:val="20"/>
        </w:rPr>
      </w:pPr>
      <w:r>
        <w:rPr>
          <w:rFonts w:ascii="Times New Roman" w:hAnsi="Times New Roman"/>
          <w:sz w:val="20"/>
        </w:rPr>
        <w:t xml:space="preserve">Email: </w:t>
      </w:r>
      <w:r>
        <w:rPr>
          <w:rFonts w:ascii="Times New Roman" w:hAnsi="Times New Roman"/>
          <w:sz w:val="20"/>
          <w:u w:val="single"/>
        </w:rPr>
        <w:t>chimmyleung@melco-resorts.com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Statements of Operations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98"/>
        <w:gridCol w:w="125"/>
        <w:gridCol w:w="140"/>
        <w:gridCol w:w="1400"/>
        <w:gridCol w:w="155"/>
        <w:gridCol w:w="65"/>
        <w:gridCol w:w="140"/>
        <w:gridCol w:w="1400"/>
        <w:gridCol w:w="155"/>
        <w:gridCol w:w="65"/>
        <w:gridCol w:w="140"/>
        <w:gridCol w:w="1400"/>
        <w:gridCol w:w="155"/>
        <w:gridCol w:w="65"/>
        <w:gridCol w:w="140"/>
        <w:gridCol w:w="1400"/>
        <w:gridCol w:w="162"/>
      </w:tblGrid>
      <w:tr>
        <w:trPr/>
        <w:tc>
          <w:tcPr>
            <w:tcW w:w="3098"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9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300"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300" w:type="dxa"/>
            <w:gridSpan w:val="6"/>
            <w:tcBorders/>
            <w:vAlign w:val="bottom"/>
          </w:tcPr>
          <w:p>
            <w:pPr>
              <w:pStyle w:val="TableContents"/>
              <w:bidi w:val="0"/>
              <w:spacing w:before="0" w:after="283"/>
              <w:jc w:val="center"/>
              <w:rPr>
                <w:b/>
              </w:rPr>
            </w:pPr>
            <w:r>
              <w:rPr>
                <w:b/>
              </w:rPr>
              <w:t>Six Months Ended</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3300"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3300" w:type="dxa"/>
            <w:gridSpan w:val="6"/>
            <w:tcBorders/>
            <w:vAlign w:val="bottom"/>
          </w:tcPr>
          <w:p>
            <w:pPr>
              <w:pStyle w:val="TableContents"/>
              <w:bidi w:val="0"/>
              <w:spacing w:before="0" w:after="283"/>
              <w:jc w:val="center"/>
              <w:rPr>
                <w:b/>
              </w:rPr>
            </w:pPr>
            <w:r>
              <w:rPr>
                <w:b/>
              </w:rPr>
              <w:t>June 30,</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pPr>
            <w:r>
              <w:rPr/>
              <w:t> </w:t>
            </w:r>
          </w:p>
        </w:tc>
        <w:tc>
          <w:tcPr>
            <w:tcW w:w="12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revenues: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1,035,100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1,095,508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2,185,433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2,119,920</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112,307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108,918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220,761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214,057</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66,685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70,948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132,463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146,496</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38,106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52,837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80,255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80,046</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Total operating revenues</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1,252,198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1,328,211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2,618,912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2,560,519</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costs and expenses: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Casino</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(692,284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(695,947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(1,421,354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(1,358,604</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Rooms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(39,592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(36,938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(78,957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(72,563</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Food and beverage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(60,693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(60,641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(122,606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(121,738</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Entertainment, retail and other</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(23,496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(32,731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(46,685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(46,518</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(166,235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(158,494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(345,858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(313,444</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(6,763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(9,062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(16,137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(18,301</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(1,302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(28,982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(1,593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(43,023</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(1,406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(5,270</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Amortization of land use rights</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(4,965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(4,980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(9,941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(9,982</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(130,705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(128,943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(266,793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(254,364</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(44,991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(47,186</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operating costs and expenses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(1,124,416</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(1,203,555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(2,312,155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(2,290,993</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127,782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124,656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306,757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269,526</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Non-operating income (expenses):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1,178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1,687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2,170</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4,563</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 net of amounts capitalized</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(110,985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(117,883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(222,803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(237,389</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Other financing costs</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(1,534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(1,895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(3,277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(3,978</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exchange (losses) gains, net</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(3,152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13,299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5,687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18,901</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net</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6,342</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1,389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9,097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1,989</w:t>
            </w:r>
          </w:p>
        </w:tc>
        <w:tc>
          <w:tcPr>
            <w:tcW w:w="162" w:type="dxa"/>
            <w:tcBorders/>
            <w:vAlign w:val="bottom"/>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— </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Total non-operating expenses, net</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(109,531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(103,403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(210,506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(215,914</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before income tax</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18,251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21,253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96,251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53,612</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(7,701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(11,898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(14,821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(16,510</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10,550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9,355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81,430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37,102</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12,111</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7,837</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18,063</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12,622</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0"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22,661</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17,192</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99,493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49,724</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share:</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0.019</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0.015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0.085</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0.041</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0.019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0.014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0.085</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0.041</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 per ADS:</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0"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0.058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0.044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0.256</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0" w:type="dxa"/>
            <w:tcBorders/>
            <w:vAlign w:val="bottom"/>
          </w:tcPr>
          <w:p>
            <w:pPr>
              <w:pStyle w:val="TableContents"/>
              <w:bidi w:val="0"/>
              <w:spacing w:before="0" w:after="283"/>
              <w:jc w:val="right"/>
              <w:rPr/>
            </w:pPr>
            <w:r>
              <w:rPr/>
              <w:t>0.123</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0.058</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0.043</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0.254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0" w:type="dxa"/>
            <w:tcBorders/>
            <w:shd w:fill="CCEEFF" w:val="clear"/>
            <w:vAlign w:val="bottom"/>
          </w:tcPr>
          <w:p>
            <w:pPr>
              <w:pStyle w:val="TableContents"/>
              <w:bidi w:val="0"/>
              <w:spacing w:before="0" w:after="283"/>
              <w:jc w:val="right"/>
              <w:rPr/>
            </w:pPr>
            <w:r>
              <w:rPr/>
              <w:t>0.122</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net income attributable to Melco Resorts &amp; Entertainment Limited per share calculation:</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0" w:type="dxa"/>
            <w:tcBorders/>
            <w:vAlign w:val="bottom"/>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r>
      <w:tr>
        <w:trPr/>
        <w:tc>
          <w:tcPr>
            <w:tcW w:w="309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1,164,375,334</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1,183,590,580</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1,167,308,707</w:t>
            </w:r>
          </w:p>
        </w:tc>
        <w:tc>
          <w:tcPr>
            <w:tcW w:w="15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0" w:type="dxa"/>
            <w:tcBorders/>
            <w:shd w:fill="CCEEFF" w:val="clear"/>
            <w:vAlign w:val="bottom"/>
          </w:tcPr>
          <w:p>
            <w:pPr>
              <w:pStyle w:val="TableContents"/>
              <w:bidi w:val="0"/>
              <w:spacing w:before="0" w:after="283"/>
              <w:jc w:val="right"/>
              <w:rPr/>
            </w:pPr>
            <w:r>
              <w:rPr/>
              <w:t>1,216,519,466</w:t>
            </w:r>
          </w:p>
        </w:tc>
        <w:tc>
          <w:tcPr>
            <w:tcW w:w="162" w:type="dxa"/>
            <w:tcBorders/>
            <w:shd w:fill="CCEEFF" w:val="clear"/>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98"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1,165,971,364</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1,186,358,988</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1,173,167,189</w:t>
            </w:r>
          </w:p>
        </w:tc>
        <w:tc>
          <w:tcPr>
            <w:tcW w:w="15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right"/>
              <w:rPr/>
            </w:pPr>
            <w:r>
              <w:rPr/>
              <w:t>1,219,467,624</w:t>
            </w:r>
          </w:p>
        </w:tc>
        <w:tc>
          <w:tcPr>
            <w:tcW w:w="162" w:type="dxa"/>
            <w:tcBorders/>
            <w:vAlign w:val="bottom"/>
          </w:tcPr>
          <w:p>
            <w:pPr>
              <w:pStyle w:val="TableContents"/>
              <w:bidi w:val="0"/>
              <w:spacing w:before="0" w:after="283"/>
              <w:jc w:val="left"/>
              <w:rPr/>
            </w:pPr>
            <w:r>
              <w:rPr/>
              <w:t> </w:t>
            </w:r>
          </w:p>
        </w:tc>
      </w:tr>
      <w:tr>
        <w:trPr/>
        <w:tc>
          <w:tcPr>
            <w:tcW w:w="3098" w:type="dxa"/>
            <w:tcBorders/>
            <w:vAlign w:val="bottom"/>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0"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Condensed Consolidated Balance Sheets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985"/>
        <w:gridCol w:w="165"/>
        <w:gridCol w:w="140"/>
        <w:gridCol w:w="1074"/>
        <w:gridCol w:w="155"/>
        <w:gridCol w:w="110"/>
        <w:gridCol w:w="165"/>
        <w:gridCol w:w="1252"/>
        <w:gridCol w:w="159"/>
      </w:tblGrid>
      <w:tr>
        <w:trPr/>
        <w:tc>
          <w:tcPr>
            <w:tcW w:w="6985"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5"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1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pPr>
            <w:r>
              <w:rPr>
                <w:b/>
              </w:rPr>
              <w:t>December 31,</w:t>
            </w:r>
            <w:r>
              <w:rPr/>
              <w:br/>
            </w:r>
            <w:r>
              <w:rPr>
                <w:b/>
              </w:rPr>
              <w:t>2025</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5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Current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912,893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1,023,199</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117,484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126,405</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Receivables from affiliated companies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2,185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887</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36,219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36,919</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Prepaid expenses and other current assets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85,797</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81,790</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1,154,578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1,269,200</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5,026,918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5,157,443</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266,991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270,903</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Goodwill</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23,305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23,490</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Long-term prepayments, deposits and other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173,211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129,428</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124,253</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125,235</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71,778</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76,935</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530,828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545,054</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7,371,862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7,597,688</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5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sz w:val="4"/>
                <w:szCs w:val="4"/>
              </w:rPr>
            </w:pPr>
            <w:r>
              <w:rPr>
                <w:sz w:val="4"/>
                <w:szCs w:val="4"/>
              </w:rPr>
            </w:r>
          </w:p>
        </w:tc>
        <w:tc>
          <w:tcPr>
            <w:tcW w:w="1252"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19,509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1252" w:type="dxa"/>
            <w:tcBorders/>
            <w:shd w:fill="CCEEFF" w:val="clear"/>
            <w:vAlign w:val="bottom"/>
          </w:tcPr>
          <w:p>
            <w:pPr>
              <w:pStyle w:val="TableContents"/>
              <w:bidi w:val="0"/>
              <w:spacing w:before="0" w:after="283"/>
              <w:jc w:val="right"/>
              <w:rPr/>
            </w:pPr>
            <w:r>
              <w:rPr/>
              <w:t>25,910</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Accrued expenses and other 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1,024,700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1,076,150</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 payable</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29,074</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29,208</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current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18,721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18,998</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current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32,430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33,327</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debt, net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14,514</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Payables to affiliated companies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142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719</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1,139,090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1,184,312</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Long-term debt,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7,036,841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6,747,918</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long-term liabilities </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276,730</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309,799</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 net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36,439</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34,590</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 non-current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71,275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76,108</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 non-current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135,788</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148,590</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8,696,163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8,501,317</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sz w:val="4"/>
                <w:szCs w:val="4"/>
              </w:rPr>
            </w:pPr>
            <w:r>
              <w:rPr>
                <w:sz w:val="4"/>
                <w:szCs w:val="4"/>
              </w:rPr>
            </w:r>
          </w:p>
        </w:tc>
        <w:tc>
          <w:tcPr>
            <w:tcW w:w="1252"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Ordinary shares, par value $0.01; 7,300,000,000 shares authorized; 1,351,540,382 and 1,351,540,382 shares issued; 1,140,732,190 and 1,172,055,466 shares outstanding, respectively</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13,515</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13,515</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Treasury shares, at cost; 210,808,192 and 179,484,916 shares, respectively</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(409,835</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(356,835</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2,602,843</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2,988,714</w:t>
            </w:r>
          </w:p>
        </w:tc>
        <w:tc>
          <w:tcPr>
            <w:tcW w:w="159" w:type="dxa"/>
            <w:tcBorders/>
            <w:vAlign w:val="bottom"/>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losses</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(113,372</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(63,712</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losses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(3,728,791</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(3,828,284</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Melco Resorts &amp; Entertainment Limited shareholders’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(1,635,640</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(1,246,602</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311,339</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252" w:type="dxa"/>
            <w:tcBorders/>
            <w:vAlign w:val="bottom"/>
          </w:tcPr>
          <w:p>
            <w:pPr>
              <w:pStyle w:val="TableContents"/>
              <w:bidi w:val="0"/>
              <w:spacing w:before="0" w:after="283"/>
              <w:jc w:val="right"/>
              <w:rPr/>
            </w:pPr>
            <w:r>
              <w:rPr/>
              <w:t>342,973</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deficit</w:t>
            </w:r>
          </w:p>
        </w:tc>
        <w:tc>
          <w:tcPr>
            <w:tcW w:w="16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(1,324,301</w:t>
            </w:r>
          </w:p>
        </w:tc>
        <w:tc>
          <w:tcPr>
            <w:tcW w:w="155" w:type="dxa"/>
            <w:tcBorders/>
            <w:shd w:fill="CCEEFF" w:val="clear"/>
            <w:vAlign w:val="bottom"/>
          </w:tcPr>
          <w:p>
            <w:pPr>
              <w:pStyle w:val="TableContents"/>
              <w:bidi w:val="0"/>
              <w:spacing w:before="0" w:after="283"/>
              <w:jc w:val="left"/>
              <w:rPr/>
            </w:pPr>
            <w:r>
              <w:rPr/>
              <w:t>) </w:t>
            </w:r>
          </w:p>
        </w:tc>
        <w:tc>
          <w:tcPr>
            <w:tcW w:w="11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252" w:type="dxa"/>
            <w:tcBorders/>
            <w:shd w:fill="CCEEFF" w:val="clear"/>
            <w:vAlign w:val="bottom"/>
          </w:tcPr>
          <w:p>
            <w:pPr>
              <w:pStyle w:val="TableContents"/>
              <w:bidi w:val="0"/>
              <w:spacing w:before="0" w:after="283"/>
              <w:jc w:val="right"/>
              <w:rPr/>
            </w:pPr>
            <w:r>
              <w:rPr/>
              <w:t>(903,629</w:t>
            </w:r>
          </w:p>
        </w:tc>
        <w:tc>
          <w:tcPr>
            <w:tcW w:w="159" w:type="dxa"/>
            <w:tcBorders/>
            <w:shd w:fill="CCEEFF" w:val="clear"/>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1252"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985"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 and deficit</w:t>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7,371,862</w:t>
            </w:r>
          </w:p>
        </w:tc>
        <w:tc>
          <w:tcPr>
            <w:tcW w:w="155" w:type="dxa"/>
            <w:tcBorders/>
            <w:vAlign w:val="bottom"/>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w:t>
            </w:r>
          </w:p>
        </w:tc>
        <w:tc>
          <w:tcPr>
            <w:tcW w:w="1252" w:type="dxa"/>
            <w:tcBorders/>
            <w:vAlign w:val="bottom"/>
          </w:tcPr>
          <w:p>
            <w:pPr>
              <w:pStyle w:val="TableContents"/>
              <w:bidi w:val="0"/>
              <w:spacing w:before="0" w:after="283"/>
              <w:jc w:val="right"/>
              <w:rPr/>
            </w:pPr>
            <w:r>
              <w:rPr/>
              <w:t>7,597,688</w:t>
            </w:r>
          </w:p>
        </w:tc>
        <w:tc>
          <w:tcPr>
            <w:tcW w:w="159" w:type="dxa"/>
            <w:tcBorders/>
            <w:vAlign w:val="bottom"/>
          </w:tcPr>
          <w:p>
            <w:pPr>
              <w:pStyle w:val="TableContents"/>
              <w:bidi w:val="0"/>
              <w:spacing w:before="0" w:after="283"/>
              <w:jc w:val="left"/>
              <w:rPr/>
            </w:pPr>
            <w:r>
              <w:rPr/>
              <w:t> </w:t>
            </w:r>
          </w:p>
        </w:tc>
      </w:tr>
      <w:tr>
        <w:trPr/>
        <w:tc>
          <w:tcPr>
            <w:tcW w:w="6985"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10"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double" w:sz="6" w:space="1" w:color="000000"/>
              </w:pBdr>
              <w:bidi w:val="0"/>
              <w:spacing w:before="0" w:after="0"/>
              <w:jc w:val="left"/>
              <w:rPr/>
            </w:pPr>
            <w:r>
              <w:rPr/>
              <w:t> </w:t>
            </w:r>
          </w:p>
        </w:tc>
        <w:tc>
          <w:tcPr>
            <w:tcW w:w="1252"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Net Income Attributable to Melco Resorts &amp; Entertainment Limited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9"/>
        <w:gridCol w:w="130"/>
        <w:gridCol w:w="140"/>
        <w:gridCol w:w="1401"/>
        <w:gridCol w:w="155"/>
        <w:gridCol w:w="71"/>
        <w:gridCol w:w="140"/>
        <w:gridCol w:w="1401"/>
        <w:gridCol w:w="155"/>
        <w:gridCol w:w="71"/>
        <w:gridCol w:w="140"/>
        <w:gridCol w:w="1401"/>
        <w:gridCol w:w="155"/>
        <w:gridCol w:w="71"/>
        <w:gridCol w:w="140"/>
        <w:gridCol w:w="1401"/>
        <w:gridCol w:w="164"/>
      </w:tblGrid>
      <w:tr>
        <w:trPr/>
        <w:tc>
          <w:tcPr>
            <w:tcW w:w="3069"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06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308"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308" w:type="dxa"/>
            <w:gridSpan w:val="6"/>
            <w:tcBorders/>
            <w:vAlign w:val="bottom"/>
          </w:tcPr>
          <w:p>
            <w:pPr>
              <w:pStyle w:val="TableContents"/>
              <w:bidi w:val="0"/>
              <w:spacing w:before="0" w:after="283"/>
              <w:jc w:val="center"/>
              <w:rPr>
                <w:b/>
              </w:rPr>
            </w:pPr>
            <w:r>
              <w:rPr>
                <w:b/>
              </w:rPr>
              <w:t>Six Months Ended</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3308"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308" w:type="dxa"/>
            <w:gridSpan w:val="6"/>
            <w:tcBorders/>
            <w:vAlign w:val="bottom"/>
          </w:tcPr>
          <w:p>
            <w:pPr>
              <w:pStyle w:val="TableContents"/>
              <w:bidi w:val="0"/>
              <w:spacing w:before="0" w:after="283"/>
              <w:jc w:val="center"/>
              <w:rPr>
                <w:b/>
              </w:rPr>
            </w:pPr>
            <w:r>
              <w:rPr>
                <w:b/>
              </w:rPr>
              <w:t>June 30,</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pPr>
            <w:r>
              <w:rPr/>
              <w:t> </w:t>
            </w:r>
          </w:p>
        </w:tc>
        <w:tc>
          <w:tcPr>
            <w:tcW w:w="130"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4"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22,661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17,192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99,493</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49,724</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1,302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28,982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1,593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43,023</w:t>
            </w:r>
          </w:p>
        </w:tc>
        <w:tc>
          <w:tcPr>
            <w:tcW w:w="164"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1,406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5,270</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44,991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47,186</w:t>
            </w:r>
          </w:p>
        </w:tc>
        <w:tc>
          <w:tcPr>
            <w:tcW w:w="164"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Loss on extinguishment of debt</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1,380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— </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Income tax impact on adjustments</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(556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(799</w:t>
            </w:r>
          </w:p>
        </w:tc>
        <w:tc>
          <w:tcPr>
            <w:tcW w:w="164" w:type="dxa"/>
            <w:tcBorders/>
            <w:vAlign w:val="bottom"/>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 impact on adjustments</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(524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(188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(629</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(1,052</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23,187</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92,267</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104,046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143,352</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 per share:</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0.020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0.078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0.089</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0.118</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0.020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0.078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0.089</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0.118</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Adjusted net income attributable to Melco Resorts &amp; Entertainment Limited per ADS:</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401" w:type="dxa"/>
            <w:tcBorders/>
            <w:vAlign w:val="bottom"/>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0.060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0.234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0.267</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0.354</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0.060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0.233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0.266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401" w:type="dxa"/>
            <w:tcBorders/>
            <w:vAlign w:val="bottom"/>
          </w:tcPr>
          <w:p>
            <w:pPr>
              <w:pStyle w:val="TableContents"/>
              <w:bidi w:val="0"/>
              <w:spacing w:before="0" w:after="283"/>
              <w:jc w:val="right"/>
              <w:rPr/>
            </w:pPr>
            <w:r>
              <w:rPr/>
              <w:t>0.353</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Weighted average shares outstanding used in adjusted net income attributable to Melco Resorts &amp; Entertainment Limited per share calculation:</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401" w:type="dxa"/>
            <w:tcBorders/>
            <w:shd w:fill="CCEEFF" w:val="clear"/>
            <w:vAlign w:val="bottom"/>
          </w:tcPr>
          <w:p>
            <w:pPr>
              <w:pStyle w:val="TableContents"/>
              <w:bidi w:val="0"/>
              <w:spacing w:before="0" w:after="283"/>
              <w:jc w:val="left"/>
              <w:rPr>
                <w:sz w:val="4"/>
                <w:szCs w:val="4"/>
              </w:rPr>
            </w:pPr>
            <w:r>
              <w:rPr>
                <w:sz w:val="4"/>
                <w:szCs w:val="4"/>
              </w:rPr>
            </w:r>
          </w:p>
        </w:tc>
        <w:tc>
          <w:tcPr>
            <w:tcW w:w="164" w:type="dxa"/>
            <w:tcBorders/>
            <w:shd w:fill="CCEEFF" w:val="clear"/>
            <w:vAlign w:val="bottom"/>
          </w:tcPr>
          <w:p>
            <w:pPr>
              <w:pStyle w:val="TableContents"/>
              <w:bidi w:val="0"/>
              <w:spacing w:before="0" w:after="283"/>
              <w:jc w:val="left"/>
              <w:rPr>
                <w:sz w:val="4"/>
                <w:szCs w:val="4"/>
              </w:rPr>
            </w:pPr>
            <w:r>
              <w:rPr>
                <w:sz w:val="4"/>
                <w:szCs w:val="4"/>
              </w:rPr>
            </w:r>
          </w:p>
        </w:tc>
      </w:tr>
      <w:tr>
        <w:trPr/>
        <w:tc>
          <w:tcPr>
            <w:tcW w:w="3069"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1,164,375,334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1,183,590,580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1,167,308,707</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1,216,519,466</w:t>
            </w:r>
          </w:p>
        </w:tc>
        <w:tc>
          <w:tcPr>
            <w:tcW w:w="164" w:type="dxa"/>
            <w:tcBorders/>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r>
        <w:trPr/>
        <w:tc>
          <w:tcPr>
            <w:tcW w:w="306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3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1,165,971,364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1,186,358,988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1,173,167,189</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1,219,467,624</w:t>
            </w:r>
          </w:p>
        </w:tc>
        <w:tc>
          <w:tcPr>
            <w:tcW w:w="164" w:type="dxa"/>
            <w:tcBorders/>
            <w:shd w:fill="CCEEFF" w:val="clear"/>
            <w:vAlign w:val="bottom"/>
          </w:tcPr>
          <w:p>
            <w:pPr>
              <w:pStyle w:val="TableContents"/>
              <w:bidi w:val="0"/>
              <w:spacing w:before="0" w:after="283"/>
              <w:jc w:val="left"/>
              <w:rPr/>
            </w:pPr>
            <w:r>
              <w:rPr/>
              <w:t> </w:t>
            </w:r>
          </w:p>
        </w:tc>
      </w:tr>
      <w:tr>
        <w:trPr/>
        <w:tc>
          <w:tcPr>
            <w:tcW w:w="3069" w:type="dxa"/>
            <w:tcBorders/>
            <w:vAlign w:val="bottom"/>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3205" w:type="dxa"/>
        <w:jc w:val="center"/>
        <w:tblInd w:w="0" w:type="dxa"/>
        <w:tblLayout w:type="fixed"/>
        <w:tblCellMar>
          <w:top w:w="0" w:type="dxa"/>
          <w:left w:w="0" w:type="dxa"/>
          <w:bottom w:w="0" w:type="dxa"/>
          <w:right w:w="0" w:type="dxa"/>
        </w:tblCellMar>
      </w:tblPr>
      <w:tblGrid>
        <w:gridCol w:w="1160"/>
        <w:gridCol w:w="60"/>
        <w:gridCol w:w="140"/>
        <w:gridCol w:w="800"/>
        <w:gridCol w:w="155"/>
        <w:gridCol w:w="60"/>
        <w:gridCol w:w="140"/>
        <w:gridCol w:w="800"/>
        <w:gridCol w:w="155"/>
        <w:gridCol w:w="60"/>
        <w:gridCol w:w="145"/>
        <w:gridCol w:w="580"/>
        <w:gridCol w:w="155"/>
        <w:gridCol w:w="60"/>
        <w:gridCol w:w="218"/>
        <w:gridCol w:w="1182"/>
        <w:gridCol w:w="155"/>
        <w:gridCol w:w="60"/>
        <w:gridCol w:w="140"/>
        <w:gridCol w:w="680"/>
        <w:gridCol w:w="60"/>
        <w:gridCol w:w="60"/>
        <w:gridCol w:w="267"/>
        <w:gridCol w:w="1298"/>
        <w:gridCol w:w="155"/>
        <w:gridCol w:w="60"/>
        <w:gridCol w:w="266"/>
        <w:gridCol w:w="1209"/>
        <w:gridCol w:w="155"/>
        <w:gridCol w:w="60"/>
        <w:gridCol w:w="218"/>
        <w:gridCol w:w="1182"/>
        <w:gridCol w:w="155"/>
        <w:gridCol w:w="60"/>
        <w:gridCol w:w="140"/>
        <w:gridCol w:w="800"/>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98,537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38,825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299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2,435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17,805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6,364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(1,403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(35,080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127,782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6,763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6,763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1,478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1,774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3,252</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1,258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1,302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1,406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1,406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50,490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56,449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971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1,006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4,622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13,461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3,111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5,560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135,670</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1,623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450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4,733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7,317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(4,124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779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529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27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(3,025</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147,784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95,515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4,002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19,914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3,508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(23,364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280,467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23,364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23,364</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147,784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95,515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2,163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4,002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30,945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19,914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3,508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303,831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60" w:type="dxa"/>
            <w:tcBorders/>
            <w:vAlign w:val="center"/>
          </w:tcPr>
          <w:p>
            <w:pPr>
              <w:pStyle w:val="TableContents"/>
              <w:bidi w:val="0"/>
              <w:spacing w:before="0" w:after="283"/>
              <w:jc w:val="left"/>
              <w:rPr>
                <w:sz w:val="4"/>
                <w:szCs w:val="4"/>
              </w:rPr>
            </w:pPr>
            <w:r>
              <w:rPr>
                <w:sz w:val="4"/>
                <w:szCs w:val="4"/>
              </w:rPr>
            </w:r>
          </w:p>
        </w:tc>
        <w:tc>
          <w:tcPr>
            <w:tcW w:w="12045" w:type="dxa"/>
            <w:gridSpan w:val="36"/>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3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w:t>
              <w:br/>
              <w:t>and Other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163,368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47,336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(51,468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12,769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(748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(8,735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(37,831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124,656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9,062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9,062</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1,118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1,788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2,906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19,985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6,895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27,194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51,220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56,926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578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1,077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5,147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13,155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5,820</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133,923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1,600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114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46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269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5,056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7,646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(10,536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206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184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55,557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(97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(375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44,991</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225,637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105,210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12,415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 </w:t>
            </w:r>
          </w:p>
        </w:tc>
        <w:tc>
          <w:tcPr>
            <w:tcW w:w="1209"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(25,484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352,224</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left"/>
              <w:rPr/>
            </w:pPr>
            <w:r>
              <w:rPr/>
              <w:t> </w:t>
            </w:r>
          </w:p>
        </w:tc>
        <w:tc>
          <w:tcPr>
            <w:tcW w:w="120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25,484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25,484</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single" w:sz="2" w:space="1" w:color="000000"/>
              </w:pBdr>
              <w:bidi w:val="0"/>
              <w:spacing w:before="0" w:after="0"/>
              <w:jc w:val="left"/>
              <w:rPr/>
            </w:pPr>
            <w:r>
              <w:rPr/>
              <w:t> </w:t>
            </w:r>
          </w:p>
        </w:tc>
        <w:tc>
          <w:tcPr>
            <w:tcW w:w="58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single" w:sz="2" w:space="1" w:color="000000"/>
              </w:pBdr>
              <w:bidi w:val="0"/>
              <w:spacing w:before="0" w:after="0"/>
              <w:jc w:val="left"/>
              <w:rPr/>
            </w:pPr>
            <w:r>
              <w:rPr/>
              <w:t> </w:t>
            </w:r>
          </w:p>
        </w:tc>
        <w:tc>
          <w:tcPr>
            <w:tcW w:w="120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225,637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105,210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5" w:type="dxa"/>
            <w:tcBorders/>
            <w:shd w:fill="CCEEFF" w:val="clear"/>
            <w:vAlign w:val="bottom"/>
          </w:tcPr>
          <w:p>
            <w:pPr>
              <w:pStyle w:val="TableContents"/>
              <w:bidi w:val="0"/>
              <w:spacing w:before="0" w:after="283"/>
              <w:jc w:val="left"/>
              <w:rPr/>
            </w:pPr>
            <w:r>
              <w:rPr/>
              <w:t>$</w:t>
            </w:r>
          </w:p>
        </w:tc>
        <w:tc>
          <w:tcPr>
            <w:tcW w:w="580" w:type="dxa"/>
            <w:tcBorders/>
            <w:shd w:fill="CCEEFF" w:val="clear"/>
            <w:vAlign w:val="bottom"/>
          </w:tcPr>
          <w:p>
            <w:pPr>
              <w:pStyle w:val="TableContents"/>
              <w:bidi w:val="0"/>
              <w:spacing w:before="0" w:after="283"/>
              <w:jc w:val="right"/>
              <w:rPr/>
            </w:pPr>
            <w:r>
              <w:rPr/>
              <w:t>841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28,417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12,415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6" w:type="dxa"/>
            <w:tcBorders/>
            <w:shd w:fill="CCEEFF" w:val="clear"/>
            <w:vAlign w:val="bottom"/>
          </w:tcPr>
          <w:p>
            <w:pPr>
              <w:pStyle w:val="TableContents"/>
              <w:bidi w:val="0"/>
              <w:spacing w:before="0" w:after="283"/>
              <w:jc w:val="left"/>
              <w:rPr/>
            </w:pPr>
            <w:r>
              <w:rPr/>
              <w:t>$</w:t>
            </w:r>
          </w:p>
        </w:tc>
        <w:tc>
          <w:tcPr>
            <w:tcW w:w="1209" w:type="dxa"/>
            <w:tcBorders/>
            <w:shd w:fill="CCEEFF" w:val="clear"/>
            <w:vAlign w:val="bottom"/>
          </w:tcPr>
          <w:p>
            <w:pPr>
              <w:pStyle w:val="TableContents"/>
              <w:bidi w:val="0"/>
              <w:spacing w:before="0" w:after="283"/>
              <w:jc w:val="right"/>
              <w:rPr/>
            </w:pPr>
            <w:r>
              <w:rPr/>
              <w:t>(24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377,708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pBdr>
                <w:top w:val="double" w:sz="6" w:space="1" w:color="000000"/>
              </w:pBdr>
              <w:bidi w:val="0"/>
              <w:spacing w:before="0" w:after="0"/>
              <w:jc w:val="left"/>
              <w:rPr/>
            </w:pPr>
            <w:r>
              <w:rPr/>
              <w:t> </w:t>
            </w:r>
          </w:p>
        </w:tc>
        <w:tc>
          <w:tcPr>
            <w:tcW w:w="58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pBdr>
                <w:top w:val="double" w:sz="6" w:space="1" w:color="000000"/>
              </w:pBdr>
              <w:bidi w:val="0"/>
              <w:spacing w:before="0" w:after="0"/>
              <w:jc w:val="left"/>
              <w:rPr/>
            </w:pPr>
            <w:r>
              <w:rPr/>
              <w:t> </w:t>
            </w:r>
          </w:p>
        </w:tc>
        <w:tc>
          <w:tcPr>
            <w:tcW w:w="120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Mocha and Other segment included the operation of the Grand Dragon Casino before its closure and was changed to Mocha segment effective on September 23, 2025.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Effective from August 1, 2025, the Company’s casino operations at City of Dreams Sri Lanka, which commenced business on August 1, 2025, and provision of management services to operate certain floors of the hotel tower at City of Dreams Sri Lanka which opened to the public on July 15, 2025 were previously reported under the Corporate and Other category, has been included in the Other Operations segment for the three months and six months ended June 30, 2025. City of Dreams Sri Lanka is an integrated resort in Colombo, Sri Lanka, developed by a subsidiary of John Keells Holdings PLC, an independent third party.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(5)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Integrated resort and casino rent represents land rent and variable lease costs to Belle Corporation and casino rent to a subsidiary of John Keells Holdings PLC.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(6)</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Certain amounts of pre-opening costs are grouped and reported under the line item Integrated resort and casino rent.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Operating Income to 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13255" w:type="dxa"/>
        <w:jc w:val="center"/>
        <w:tblInd w:w="0" w:type="dxa"/>
        <w:tblLayout w:type="fixed"/>
        <w:tblCellMar>
          <w:top w:w="0" w:type="dxa"/>
          <w:left w:w="0" w:type="dxa"/>
          <w:bottom w:w="0" w:type="dxa"/>
          <w:right w:w="0" w:type="dxa"/>
        </w:tblCellMar>
      </w:tblPr>
      <w:tblGrid>
        <w:gridCol w:w="1160"/>
        <w:gridCol w:w="60"/>
        <w:gridCol w:w="140"/>
        <w:gridCol w:w="800"/>
        <w:gridCol w:w="155"/>
        <w:gridCol w:w="60"/>
        <w:gridCol w:w="140"/>
        <w:gridCol w:w="800"/>
        <w:gridCol w:w="155"/>
        <w:gridCol w:w="60"/>
        <w:gridCol w:w="140"/>
        <w:gridCol w:w="635"/>
        <w:gridCol w:w="155"/>
        <w:gridCol w:w="60"/>
        <w:gridCol w:w="218"/>
        <w:gridCol w:w="1182"/>
        <w:gridCol w:w="155"/>
        <w:gridCol w:w="60"/>
        <w:gridCol w:w="140"/>
        <w:gridCol w:w="680"/>
        <w:gridCol w:w="60"/>
        <w:gridCol w:w="60"/>
        <w:gridCol w:w="267"/>
        <w:gridCol w:w="1298"/>
        <w:gridCol w:w="155"/>
        <w:gridCol w:w="60"/>
        <w:gridCol w:w="230"/>
        <w:gridCol w:w="1245"/>
        <w:gridCol w:w="155"/>
        <w:gridCol w:w="60"/>
        <w:gridCol w:w="218"/>
        <w:gridCol w:w="1182"/>
        <w:gridCol w:w="155"/>
        <w:gridCol w:w="60"/>
        <w:gridCol w:w="140"/>
        <w:gridCol w:w="800"/>
        <w:gridCol w:w="15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2026</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254,217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93,954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1,377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5,540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39,201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1,751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(6,180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(83,103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306,757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16,137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16,137</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3,014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3,566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6,580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1,593</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106,948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112,443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1,741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2,057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9,402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26,933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6,319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10,891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276,734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3,168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228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73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505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8,875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13,883</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(3,707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2,871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543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71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(197</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362,141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207,251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6,217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8,213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68,330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28,868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(60,892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623,915</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60,892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60,892</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362,141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207,251</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6,217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8,213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68,330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28,868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3,787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684,807</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rHeight w:val="240" w:hRule="atLeast"/>
        </w:trPr>
        <w:tc>
          <w:tcPr>
            <w:tcW w:w="1160" w:type="dxa"/>
            <w:tcBorders/>
            <w:vAlign w:val="center"/>
          </w:tcPr>
          <w:p>
            <w:pPr>
              <w:pStyle w:val="TableContents"/>
              <w:bidi w:val="0"/>
              <w:spacing w:before="0" w:after="283"/>
              <w:jc w:val="left"/>
              <w:rPr>
                <w:sz w:val="4"/>
                <w:szCs w:val="4"/>
              </w:rPr>
            </w:pPr>
            <w:r>
              <w:rPr>
                <w:sz w:val="4"/>
                <w:szCs w:val="4"/>
              </w:rPr>
            </w:r>
          </w:p>
        </w:tc>
        <w:tc>
          <w:tcPr>
            <w:tcW w:w="12095" w:type="dxa"/>
            <w:gridSpan w:val="36"/>
            <w:tcBorders/>
            <w:vAlign w:val="center"/>
          </w:tcPr>
          <w:p>
            <w:pPr>
              <w:pStyle w:val="TableContents"/>
              <w:bidi w:val="0"/>
              <w:spacing w:before="0" w:after="283"/>
              <w:jc w:val="left"/>
              <w:rPr>
                <w:sz w:val="4"/>
                <w:szCs w:val="4"/>
              </w:rPr>
            </w:pPr>
            <w:r>
              <w:rPr>
                <w:sz w:val="4"/>
                <w:szCs w:val="4"/>
              </w:rPr>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880" w:type="dxa"/>
            <w:gridSpan w:val="34"/>
            <w:tcBorders>
              <w:bottom w:val="single" w:sz="8" w:space="0" w:color="000000"/>
            </w:tcBorders>
            <w:tcMar>
              <w:bottom w:w="28" w:type="dxa"/>
            </w:tcMar>
            <w:vAlign w:val="bottom"/>
          </w:tcPr>
          <w:p>
            <w:pPr>
              <w:pStyle w:val="TableContents"/>
              <w:bidi w:val="0"/>
              <w:spacing w:before="0" w:after="283"/>
              <w:jc w:val="center"/>
              <w:rPr>
                <w:b/>
              </w:rPr>
            </w:pPr>
            <w:r>
              <w:rPr>
                <w:b/>
              </w:rPr>
              <w:t>Six Months Ended June 30, 2025</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Studio</w:t>
              <w:br/>
              <w:t>City</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Altira</w:t>
              <w:br/>
              <w:t>Macau</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Mocha</w:t>
              <w:br/>
              <w:t>and Other (3)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w:t>
              <w:br/>
              <w:t>Dreams</w:t>
              <w:br/>
              <w:t>Manila</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6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City of Dreams</w:t>
              <w:br/>
              <w:t>Mediterranean</w:t>
              <w:br/>
              <w:t>and Other</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Other</w:t>
              <w:br/>
              <w:t>Operations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Corporate</w:t>
              <w:br/>
              <w:t>and Other (4)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300,860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85,462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(2,478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(45,748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26,293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(1,220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(14,184</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(79,459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269,526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18,301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18,301</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2,802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3,579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6,381</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28,461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469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10,514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39,444</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5,270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5,270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100,759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113,674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1,105</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2,104</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10,505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25,153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11,046</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264,346</w:t>
            </w:r>
          </w:p>
        </w:tc>
        <w:tc>
          <w:tcPr>
            <w:tcW w:w="155" w:type="dxa"/>
            <w:tcBorders/>
            <w:vAlign w:val="bottom"/>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2,897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766</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212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90</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485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205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9,743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14,436</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(11,432</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2,161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1,313</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55,557</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86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(111</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(388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47,186</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421,545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202,532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35"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12,003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58,472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 </w:t>
            </w:r>
          </w:p>
        </w:tc>
        <w:tc>
          <w:tcPr>
            <w:tcW w:w="1298" w:type="dxa"/>
            <w:tcBorders/>
            <w:shd w:fill="CCEEFF" w:val="clear"/>
            <w:vAlign w:val="bottom"/>
          </w:tcPr>
          <w:p>
            <w:pPr>
              <w:pStyle w:val="TableContents"/>
              <w:bidi w:val="0"/>
              <w:spacing w:before="0" w:after="283"/>
              <w:jc w:val="right"/>
              <w:rPr/>
            </w:pPr>
            <w:r>
              <w:rPr/>
              <w:t>24,027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 </w:t>
            </w:r>
          </w:p>
        </w:tc>
        <w:tc>
          <w:tcPr>
            <w:tcW w:w="124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(53,788</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664,890</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3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 </w:t>
            </w:r>
          </w:p>
        </w:tc>
        <w:tc>
          <w:tcPr>
            <w:tcW w:w="1298"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 </w:t>
            </w:r>
          </w:p>
        </w:tc>
        <w:tc>
          <w:tcPr>
            <w:tcW w:w="1245"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53,788</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53,788</w:t>
            </w:r>
          </w:p>
        </w:tc>
        <w:tc>
          <w:tcPr>
            <w:tcW w:w="155" w:type="dxa"/>
            <w:tcBorders/>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3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single" w:sz="2" w:space="1" w:color="000000"/>
              </w:pBdr>
              <w:bidi w:val="0"/>
              <w:spacing w:before="0" w:after="0"/>
              <w:jc w:val="left"/>
              <w:rPr/>
            </w:pPr>
            <w:r>
              <w:rPr/>
              <w:t> </w:t>
            </w:r>
          </w:p>
        </w:tc>
        <w:tc>
          <w:tcPr>
            <w:tcW w:w="129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single" w:sz="2" w:space="1" w:color="000000"/>
              </w:pBdr>
              <w:bidi w:val="0"/>
              <w:spacing w:before="0" w:after="0"/>
              <w:jc w:val="left"/>
              <w:rPr/>
            </w:pPr>
            <w:r>
              <w:rPr/>
              <w:t> </w:t>
            </w:r>
          </w:p>
        </w:tc>
        <w:tc>
          <w:tcPr>
            <w:tcW w:w="124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1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421,545</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202,532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35" w:type="dxa"/>
            <w:tcBorders/>
            <w:shd w:fill="CCEEFF" w:val="clear"/>
            <w:vAlign w:val="bottom"/>
          </w:tcPr>
          <w:p>
            <w:pPr>
              <w:pStyle w:val="TableContents"/>
              <w:bidi w:val="0"/>
              <w:spacing w:before="0" w:after="283"/>
              <w:jc w:val="right"/>
              <w:rPr/>
            </w:pPr>
            <w:r>
              <w:rPr/>
              <w:t>152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12,003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0" w:type="dxa"/>
            <w:tcBorders/>
            <w:shd w:fill="CCEEFF" w:val="clear"/>
            <w:vAlign w:val="bottom"/>
          </w:tcPr>
          <w:p>
            <w:pPr>
              <w:pStyle w:val="TableContents"/>
              <w:bidi w:val="0"/>
              <w:spacing w:before="0" w:after="283"/>
              <w:jc w:val="right"/>
              <w:rPr/>
            </w:pPr>
            <w:r>
              <w:rPr/>
              <w:t>58,472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67" w:type="dxa"/>
            <w:tcBorders/>
            <w:shd w:fill="CCEEFF" w:val="clear"/>
            <w:vAlign w:val="bottom"/>
          </w:tcPr>
          <w:p>
            <w:pPr>
              <w:pStyle w:val="TableContents"/>
              <w:bidi w:val="0"/>
              <w:spacing w:before="0" w:after="283"/>
              <w:jc w:val="left"/>
              <w:rPr/>
            </w:pPr>
            <w:r>
              <w:rPr/>
              <w:t>$</w:t>
            </w:r>
          </w:p>
        </w:tc>
        <w:tc>
          <w:tcPr>
            <w:tcW w:w="1298" w:type="dxa"/>
            <w:tcBorders/>
            <w:shd w:fill="CCEEFF" w:val="clear"/>
            <w:vAlign w:val="bottom"/>
          </w:tcPr>
          <w:p>
            <w:pPr>
              <w:pStyle w:val="TableContents"/>
              <w:bidi w:val="0"/>
              <w:spacing w:before="0" w:after="283"/>
              <w:jc w:val="right"/>
              <w:rPr/>
            </w:pPr>
            <w:r>
              <w:rPr/>
              <w:t>24,027</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1245" w:type="dxa"/>
            <w:tcBorders/>
            <w:shd w:fill="CCEEFF" w:val="clear"/>
            <w:vAlign w:val="bottom"/>
          </w:tcPr>
          <w:p>
            <w:pPr>
              <w:pStyle w:val="TableContents"/>
              <w:bidi w:val="0"/>
              <w:spacing w:before="0" w:after="283"/>
              <w:jc w:val="right"/>
              <w:rPr/>
            </w:pPr>
            <w:r>
              <w:rPr/>
              <w:t>(53</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1182"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718,678</w:t>
            </w:r>
          </w:p>
        </w:tc>
        <w:tc>
          <w:tcPr>
            <w:tcW w:w="155" w:type="dxa"/>
            <w:tcBorders/>
            <w:shd w:fill="CCEEFF" w:val="clear"/>
            <w:vAlign w:val="bottom"/>
          </w:tcPr>
          <w:p>
            <w:pPr>
              <w:pStyle w:val="TableContents"/>
              <w:bidi w:val="0"/>
              <w:spacing w:before="0" w:after="283"/>
              <w:jc w:val="left"/>
              <w:rPr/>
            </w:pPr>
            <w:r>
              <w:rPr/>
              <w:t> </w:t>
            </w:r>
          </w:p>
        </w:tc>
      </w:tr>
      <w:tr>
        <w:trPr/>
        <w:tc>
          <w:tcPr>
            <w:tcW w:w="11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3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6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7" w:type="dxa"/>
            <w:tcBorders/>
            <w:vAlign w:val="bottom"/>
          </w:tcPr>
          <w:p>
            <w:pPr>
              <w:pStyle w:val="TableContents"/>
              <w:pBdr>
                <w:top w:val="double" w:sz="6" w:space="1" w:color="000000"/>
              </w:pBdr>
              <w:bidi w:val="0"/>
              <w:spacing w:before="0" w:after="0"/>
              <w:jc w:val="left"/>
              <w:rPr/>
            </w:pPr>
            <w:r>
              <w:rPr/>
              <w:t> </w:t>
            </w:r>
          </w:p>
        </w:tc>
        <w:tc>
          <w:tcPr>
            <w:tcW w:w="129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0" w:type="dxa"/>
            <w:tcBorders/>
            <w:vAlign w:val="bottom"/>
          </w:tcPr>
          <w:p>
            <w:pPr>
              <w:pStyle w:val="TableContents"/>
              <w:pBdr>
                <w:top w:val="double" w:sz="6" w:space="1" w:color="000000"/>
              </w:pBdr>
              <w:bidi w:val="0"/>
              <w:spacing w:before="0" w:after="0"/>
              <w:jc w:val="left"/>
              <w:rPr/>
            </w:pPr>
            <w:r>
              <w:rPr/>
              <w:t> </w:t>
            </w:r>
          </w:p>
        </w:tc>
        <w:tc>
          <w:tcPr>
            <w:tcW w:w="124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Reconciliation of Net Income Attributable to Melco Resorts &amp; Entertainment Limited to </w:t>
      </w:r>
    </w:p>
    <w:p>
      <w:pPr>
        <w:pStyle w:val="TextBody"/>
        <w:bidi w:val="0"/>
        <w:spacing w:before="0" w:after="0"/>
        <w:jc w:val="center"/>
        <w:rPr>
          <w:rFonts w:ascii="Times New Roman" w:hAnsi="Times New Roman"/>
          <w:b/>
          <w:sz w:val="20"/>
        </w:rPr>
      </w:pPr>
      <w:r>
        <w:rPr>
          <w:rFonts w:ascii="Times New Roman" w:hAnsi="Times New Roman"/>
          <w:b/>
          <w:sz w:val="20"/>
        </w:rPr>
        <w:t xml:space="preserve">Adjusted EBITDA and Adjusted Property EBITDA (Unaudited) </w:t>
      </w:r>
    </w:p>
    <w:p>
      <w:pPr>
        <w:pStyle w:val="TextBody"/>
        <w:bidi w:val="0"/>
        <w:spacing w:before="0" w:after="0"/>
        <w:jc w:val="center"/>
        <w:rPr>
          <w:rFonts w:ascii="Times New Roman" w:hAnsi="Times New Roman"/>
          <w:b/>
          <w:sz w:val="20"/>
        </w:rPr>
      </w:pPr>
      <w:r>
        <w:rPr>
          <w:rFonts w:ascii="Times New Roman" w:hAnsi="Times New Roman"/>
          <w:b/>
          <w:sz w:val="20"/>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60"/>
        <w:gridCol w:w="126"/>
        <w:gridCol w:w="140"/>
        <w:gridCol w:w="1401"/>
        <w:gridCol w:w="155"/>
        <w:gridCol w:w="76"/>
        <w:gridCol w:w="140"/>
        <w:gridCol w:w="1401"/>
        <w:gridCol w:w="155"/>
        <w:gridCol w:w="76"/>
        <w:gridCol w:w="140"/>
        <w:gridCol w:w="1401"/>
        <w:gridCol w:w="155"/>
        <w:gridCol w:w="76"/>
        <w:gridCol w:w="140"/>
        <w:gridCol w:w="1401"/>
        <w:gridCol w:w="162"/>
      </w:tblGrid>
      <w:tr>
        <w:trPr/>
        <w:tc>
          <w:tcPr>
            <w:tcW w:w="3060"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0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313" w:type="dxa"/>
            <w:gridSpan w:val="6"/>
            <w:tcBorders/>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313" w:type="dxa"/>
            <w:gridSpan w:val="6"/>
            <w:tcBorders/>
            <w:vAlign w:val="bottom"/>
          </w:tcPr>
          <w:p>
            <w:pPr>
              <w:pStyle w:val="TableContents"/>
              <w:bidi w:val="0"/>
              <w:spacing w:before="0" w:after="283"/>
              <w:jc w:val="center"/>
              <w:rPr>
                <w:b/>
              </w:rPr>
            </w:pPr>
            <w:r>
              <w:rPr>
                <w:b/>
              </w:rPr>
              <w:t>Six Months Ended</w:t>
            </w:r>
          </w:p>
        </w:tc>
        <w:tc>
          <w:tcPr>
            <w:tcW w:w="162"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3313" w:type="dxa"/>
            <w:gridSpan w:val="6"/>
            <w:tcBorders/>
            <w:vAlign w:val="bottom"/>
          </w:tcPr>
          <w:p>
            <w:pPr>
              <w:pStyle w:val="TableContents"/>
              <w:bidi w:val="0"/>
              <w:spacing w:before="0" w:after="283"/>
              <w:jc w:val="center"/>
              <w:rPr>
                <w:b/>
              </w:rPr>
            </w:pPr>
            <w:r>
              <w:rPr>
                <w:b/>
              </w:rPr>
              <w:t>June 30,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3313" w:type="dxa"/>
            <w:gridSpan w:val="6"/>
            <w:tcBorders/>
            <w:vAlign w:val="bottom"/>
          </w:tcPr>
          <w:p>
            <w:pPr>
              <w:pStyle w:val="TableContents"/>
              <w:bidi w:val="0"/>
              <w:spacing w:before="0" w:after="283"/>
              <w:jc w:val="center"/>
              <w:rPr>
                <w:b/>
              </w:rPr>
            </w:pPr>
            <w:r>
              <w:rPr>
                <w:b/>
              </w:rPr>
              <w:t>June 30,</w:t>
            </w:r>
          </w:p>
        </w:tc>
        <w:tc>
          <w:tcPr>
            <w:tcW w:w="162"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5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2"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 attributable to Melco Resorts &amp; Entertainment Limited</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22,661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17,192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99,493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49,724</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(12,111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(7,837</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(18,063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(12,622</w:t>
            </w:r>
          </w:p>
        </w:tc>
        <w:tc>
          <w:tcPr>
            <w:tcW w:w="162"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income</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10,550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9,355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81,430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37,102</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7,701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11,898</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14,821</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16,510</w:t>
            </w:r>
          </w:p>
        </w:tc>
        <w:tc>
          <w:tcPr>
            <w:tcW w:w="162"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and other non-operating expenses, net</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109,531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103,403</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210,506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215,914</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 and amortization</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135,670</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133,923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276,734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264,346</w:t>
            </w:r>
          </w:p>
        </w:tc>
        <w:tc>
          <w:tcPr>
            <w:tcW w:w="162"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charges and other</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(3,025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44,991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(197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47,186</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Share-based compensation</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7,317</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7,646</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13,883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14,436</w:t>
            </w:r>
          </w:p>
        </w:tc>
        <w:tc>
          <w:tcPr>
            <w:tcW w:w="162"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Development costs</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1,406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1,846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2,428</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5,270</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Pre-opening costs (6)</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1,302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27,194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1,593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39,444</w:t>
            </w:r>
          </w:p>
        </w:tc>
        <w:tc>
          <w:tcPr>
            <w:tcW w:w="162" w:type="dxa"/>
            <w:tcBorders/>
            <w:vAlign w:val="bottom"/>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Integrated resort and casino rent (5)</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3,252</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2,906</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6,580</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6,381</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Payments to the Philippine Parties</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6,763</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9,062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16,137</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18,301</w:t>
            </w:r>
          </w:p>
        </w:tc>
        <w:tc>
          <w:tcPr>
            <w:tcW w:w="162"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EBITDA</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280,467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352,224</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623,915</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401" w:type="dxa"/>
            <w:tcBorders/>
            <w:shd w:fill="CCEEFF" w:val="clear"/>
            <w:vAlign w:val="bottom"/>
          </w:tcPr>
          <w:p>
            <w:pPr>
              <w:pStyle w:val="TableContents"/>
              <w:bidi w:val="0"/>
              <w:spacing w:before="0" w:after="283"/>
              <w:jc w:val="right"/>
              <w:rPr/>
            </w:pPr>
            <w:r>
              <w:rPr/>
              <w:t>664,890</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tcPr>
          <w:p>
            <w:pPr>
              <w:pStyle w:val="TableContents"/>
              <w:bidi w:val="0"/>
              <w:spacing w:before="0" w:after="0"/>
              <w:jc w:val="left"/>
              <w:rPr>
                <w:rFonts w:ascii="Times New Roman" w:hAnsi="Times New Roman"/>
                <w:sz w:val="20"/>
              </w:rPr>
            </w:pPr>
            <w:r>
              <w:rPr>
                <w:rFonts w:ascii="Times New Roman" w:hAnsi="Times New Roman"/>
                <w:sz w:val="20"/>
              </w:rPr>
              <w:t>Corporate and Other expenses (4)</w:t>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23,364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25,484</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60,892</w:t>
            </w:r>
          </w:p>
        </w:tc>
        <w:tc>
          <w:tcPr>
            <w:tcW w:w="155" w:type="dxa"/>
            <w:tcBorders/>
            <w:vAlign w:val="bottom"/>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401" w:type="dxa"/>
            <w:tcBorders/>
            <w:vAlign w:val="bottom"/>
          </w:tcPr>
          <w:p>
            <w:pPr>
              <w:pStyle w:val="TableContents"/>
              <w:bidi w:val="0"/>
              <w:spacing w:before="0" w:after="283"/>
              <w:jc w:val="right"/>
              <w:rPr/>
            </w:pPr>
            <w:r>
              <w:rPr/>
              <w:t>53,788</w:t>
            </w:r>
          </w:p>
        </w:tc>
        <w:tc>
          <w:tcPr>
            <w:tcW w:w="162" w:type="dxa"/>
            <w:tcBorders/>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0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r>
        <w:trPr/>
        <w:tc>
          <w:tcPr>
            <w:tcW w:w="306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Property EBITDA</w:t>
            </w:r>
          </w:p>
        </w:tc>
        <w:tc>
          <w:tcPr>
            <w:tcW w:w="12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r>
              <w:rPr/>
              <w:t>303,831</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r>
              <w:rPr/>
              <w:t>377,708</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r>
              <w:rPr/>
              <w:t>684,807</w:t>
            </w:r>
          </w:p>
        </w:tc>
        <w:tc>
          <w:tcPr>
            <w:tcW w:w="155" w:type="dxa"/>
            <w:tcBorders/>
            <w:shd w:fill="CCEEFF" w:val="clear"/>
            <w:vAlign w:val="bottom"/>
          </w:tcPr>
          <w:p>
            <w:pPr>
              <w:pStyle w:val="TableContents"/>
              <w:bidi w:val="0"/>
              <w:spacing w:before="0" w:after="283"/>
              <w:jc w:val="left"/>
              <w:rPr/>
            </w:pPr>
            <w:r>
              <w:rPr/>
              <w:t> </w:t>
            </w:r>
          </w:p>
        </w:tc>
        <w:tc>
          <w:tcPr>
            <w:tcW w:w="7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401" w:type="dxa"/>
            <w:tcBorders/>
            <w:shd w:fill="CCEEFF" w:val="clear"/>
            <w:vAlign w:val="bottom"/>
          </w:tcPr>
          <w:p>
            <w:pPr>
              <w:pStyle w:val="TableContents"/>
              <w:bidi w:val="0"/>
              <w:spacing w:before="0" w:after="283"/>
              <w:jc w:val="right"/>
              <w:rPr/>
            </w:pPr>
            <w:r>
              <w:rPr/>
              <w:t>   </w:t>
            </w:r>
            <w:r>
              <w:rPr/>
              <w:t>718,678</w:t>
            </w:r>
          </w:p>
        </w:tc>
        <w:tc>
          <w:tcPr>
            <w:tcW w:w="162" w:type="dxa"/>
            <w:tcBorders/>
            <w:shd w:fill="CCEEFF" w:val="clear"/>
            <w:vAlign w:val="bottom"/>
          </w:tcPr>
          <w:p>
            <w:pPr>
              <w:pStyle w:val="TableContents"/>
              <w:bidi w:val="0"/>
              <w:spacing w:before="0" w:after="283"/>
              <w:jc w:val="left"/>
              <w:rPr/>
            </w:pPr>
            <w:r>
              <w:rPr/>
              <w:t> </w:t>
            </w:r>
          </w:p>
        </w:tc>
      </w:tr>
      <w:tr>
        <w:trPr/>
        <w:tc>
          <w:tcPr>
            <w:tcW w:w="3060"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140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Melco Resorts &amp; Entertainment Limited and Subsidiaries </w:t>
      </w:r>
    </w:p>
    <w:p>
      <w:pPr>
        <w:pStyle w:val="TextBody"/>
        <w:bidi w:val="0"/>
        <w:spacing w:before="0" w:after="0"/>
        <w:jc w:val="center"/>
        <w:rPr>
          <w:rFonts w:ascii="Times New Roman" w:hAnsi="Times New Roman"/>
          <w:b/>
          <w:sz w:val="20"/>
        </w:rPr>
      </w:pPr>
      <w:r>
        <w:rPr>
          <w:rFonts w:ascii="Times New Roman" w:hAnsi="Times New Roman"/>
          <w:b/>
          <w:sz w:val="20"/>
        </w:rPr>
        <w:t xml:space="preserve">Supplemental Data Schedule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07"/>
        <w:gridCol w:w="153"/>
        <w:gridCol w:w="156"/>
        <w:gridCol w:w="800"/>
        <w:gridCol w:w="312"/>
        <w:gridCol w:w="108"/>
        <w:gridCol w:w="156"/>
        <w:gridCol w:w="804"/>
        <w:gridCol w:w="285"/>
        <w:gridCol w:w="102"/>
        <w:gridCol w:w="140"/>
        <w:gridCol w:w="681"/>
        <w:gridCol w:w="285"/>
        <w:gridCol w:w="102"/>
        <w:gridCol w:w="140"/>
        <w:gridCol w:w="681"/>
        <w:gridCol w:w="293"/>
      </w:tblGrid>
      <w:tr>
        <w:trPr/>
        <w:tc>
          <w:tcPr>
            <w:tcW w:w="5007"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50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336" w:type="dxa"/>
            <w:gridSpan w:val="6"/>
            <w:tcBorders/>
            <w:vAlign w:val="bottom"/>
          </w:tcPr>
          <w:p>
            <w:pPr>
              <w:pStyle w:val="TableContents"/>
              <w:bidi w:val="0"/>
              <w:spacing w:before="0" w:after="283"/>
              <w:jc w:val="center"/>
              <w:rPr>
                <w:b/>
              </w:rPr>
            </w:pPr>
            <w:r>
              <w:rPr>
                <w:b/>
              </w:rPr>
              <w:t>Three Months Ended</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9" w:type="dxa"/>
            <w:gridSpan w:val="6"/>
            <w:tcBorders/>
            <w:vAlign w:val="bottom"/>
          </w:tcPr>
          <w:p>
            <w:pPr>
              <w:pStyle w:val="TableContents"/>
              <w:bidi w:val="0"/>
              <w:spacing w:before="0" w:after="283"/>
              <w:jc w:val="center"/>
              <w:rPr>
                <w:b/>
              </w:rPr>
            </w:pPr>
            <w:r>
              <w:rPr>
                <w:b/>
              </w:rPr>
              <w:t>Six Months Ended</w:t>
            </w:r>
          </w:p>
        </w:tc>
        <w:tc>
          <w:tcPr>
            <w:tcW w:w="293"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2336" w:type="dxa"/>
            <w:gridSpan w:val="6"/>
            <w:tcBorders/>
            <w:vAlign w:val="bottom"/>
          </w:tcPr>
          <w:p>
            <w:pPr>
              <w:pStyle w:val="TableContents"/>
              <w:bidi w:val="0"/>
              <w:spacing w:before="0" w:after="283"/>
              <w:jc w:val="center"/>
              <w:rPr>
                <w:b/>
              </w:rPr>
            </w:pPr>
            <w:r>
              <w:rPr>
                <w:b/>
              </w:rPr>
              <w:t>June 30,</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2029" w:type="dxa"/>
            <w:gridSpan w:val="6"/>
            <w:tcBorders/>
            <w:vAlign w:val="bottom"/>
          </w:tcPr>
          <w:p>
            <w:pPr>
              <w:pStyle w:val="TableContents"/>
              <w:bidi w:val="0"/>
              <w:spacing w:before="0" w:after="283"/>
              <w:jc w:val="center"/>
              <w:rPr>
                <w:b/>
              </w:rPr>
            </w:pPr>
            <w:r>
              <w:rPr>
                <w:b/>
              </w:rPr>
              <w:t>June 30,</w:t>
            </w:r>
          </w:p>
        </w:tc>
        <w:tc>
          <w:tcPr>
            <w:tcW w:w="293" w:type="dxa"/>
            <w:tcBorders/>
            <w:vAlign w:val="bottom"/>
          </w:tcPr>
          <w:p>
            <w:pPr>
              <w:pStyle w:val="TableContents"/>
              <w:bidi w:val="0"/>
              <w:spacing w:before="0" w:after="283"/>
              <w:jc w:val="left"/>
              <w:rPr/>
            </w:pPr>
            <w:r>
              <w:rPr/>
              <w:t> </w:t>
            </w:r>
          </w:p>
        </w:tc>
      </w:tr>
      <w:tr>
        <w:trPr/>
        <w:tc>
          <w:tcPr>
            <w:tcW w:w="5007"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9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96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8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Room Statistics: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sz w:val="4"/>
                <w:szCs w:val="4"/>
              </w:rPr>
            </w:pPr>
            <w:r>
              <w:rPr>
                <w:sz w:val="4"/>
                <w:szCs w:val="4"/>
              </w:rPr>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City of Dreams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rate (7)</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224</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217</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227</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217</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99</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98</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99</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per available room (8)</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221</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212</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223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213</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Studio City</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rate (7)</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163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174</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166</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97</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97</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per available room (8)</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163</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159</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170</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163</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Altira Macau</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rate (7)</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131</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130</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133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132</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98</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97</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98</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97</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per available room (8)</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129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126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131</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128</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City of Dreams Manila</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rate (7)</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144</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164</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146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161</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97</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95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96</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95</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per available room (8)</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156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140</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153</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City of Dreams Mediterranean and Other</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daily rate (7)</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536</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495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493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430</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Occupancy per available room</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67</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62</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60</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Revenue per available room (8)</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359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306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270</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257</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Other Information:</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City of Dreams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sz w:val="4"/>
                <w:szCs w:val="4"/>
              </w:rPr>
            </w:pPr>
            <w:r>
              <w:rPr>
                <w:sz w:val="4"/>
                <w:szCs w:val="4"/>
              </w:rPr>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446</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437</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447</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434</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819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616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813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622</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16,323</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18,876</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17,619</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18,572</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586</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505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638</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507</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Studio City</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253</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253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253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253</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935</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724</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949</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760</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13,925</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14,143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14,270</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13,734</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433</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516</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451</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486</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Altira Macau</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sz w:val="4"/>
                <w:szCs w:val="4"/>
              </w:rPr>
            </w:pPr>
            <w:r>
              <w:rPr>
                <w:sz w:val="4"/>
                <w:szCs w:val="4"/>
              </w:rPr>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35</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30</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33</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33</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284</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131</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285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133</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9,324</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9,277</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10,415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8,203</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278</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242</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289</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276</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Mocha and Other (3)</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15</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426</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835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425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845</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— </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6,115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— </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6,502</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393</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270</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398</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279</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City of Dreams Manila</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312" w:type="dxa"/>
            <w:tcBorders/>
            <w:shd w:fill="CCEEFF" w:val="clear"/>
            <w:vAlign w:val="bottom"/>
          </w:tcPr>
          <w:p>
            <w:pPr>
              <w:pStyle w:val="TableContents"/>
              <w:bidi w:val="0"/>
              <w:spacing w:before="0" w:after="283"/>
              <w:jc w:val="left"/>
              <w:rPr>
                <w:sz w:val="4"/>
                <w:szCs w:val="4"/>
              </w:rPr>
            </w:pPr>
            <w:r>
              <w:rPr>
                <w:sz w:val="4"/>
                <w:szCs w:val="4"/>
              </w:rPr>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85" w:type="dxa"/>
            <w:tcBorders/>
            <w:shd w:fill="CCEEFF" w:val="clear"/>
            <w:vAlign w:val="bottom"/>
          </w:tcPr>
          <w:p>
            <w:pPr>
              <w:pStyle w:val="TableContents"/>
              <w:bidi w:val="0"/>
              <w:spacing w:before="0" w:after="283"/>
              <w:jc w:val="left"/>
              <w:rPr>
                <w:sz w:val="4"/>
                <w:szCs w:val="4"/>
              </w:rPr>
            </w:pPr>
            <w:r>
              <w:rPr>
                <w:sz w:val="4"/>
                <w:szCs w:val="4"/>
              </w:rPr>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681" w:type="dxa"/>
            <w:tcBorders/>
            <w:shd w:fill="CCEEFF" w:val="clear"/>
            <w:vAlign w:val="bottom"/>
          </w:tcPr>
          <w:p>
            <w:pPr>
              <w:pStyle w:val="TableContents"/>
              <w:bidi w:val="0"/>
              <w:spacing w:before="0" w:after="283"/>
              <w:jc w:val="left"/>
              <w:rPr>
                <w:sz w:val="4"/>
                <w:szCs w:val="4"/>
              </w:rPr>
            </w:pPr>
            <w:r>
              <w:rPr>
                <w:sz w:val="4"/>
                <w:szCs w:val="4"/>
              </w:rPr>
            </w:r>
          </w:p>
        </w:tc>
        <w:tc>
          <w:tcPr>
            <w:tcW w:w="293" w:type="dxa"/>
            <w:tcBorders/>
            <w:shd w:fill="CCEEFF" w:val="clear"/>
            <w:vAlign w:val="bottom"/>
          </w:tcPr>
          <w:p>
            <w:pPr>
              <w:pStyle w:val="TableContents"/>
              <w:bidi w:val="0"/>
              <w:spacing w:before="0" w:after="283"/>
              <w:jc w:val="left"/>
              <w:rPr>
                <w:sz w:val="4"/>
                <w:szCs w:val="4"/>
              </w:rPr>
            </w:pPr>
            <w:r>
              <w:rPr>
                <w:sz w:val="4"/>
                <w:szCs w:val="4"/>
              </w:rPr>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265</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264</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264</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266</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2,266</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2,259</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2,265</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2,266</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2,460</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2,734</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2,660</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2,566</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229</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223</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239</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237</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b/>
                <w:sz w:val="20"/>
              </w:rPr>
            </w:pPr>
            <w:r>
              <w:rPr>
                <w:rFonts w:ascii="Times New Roman" w:hAnsi="Times New Roman"/>
                <w:b/>
                <w:sz w:val="20"/>
              </w:rPr>
              <w:t>City of Dreams Mediterranean and Other</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312" w:type="dxa"/>
            <w:tcBorders/>
            <w:vAlign w:val="bottom"/>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681" w:type="dxa"/>
            <w:tcBorders/>
            <w:vAlign w:val="bottom"/>
          </w:tcPr>
          <w:p>
            <w:pPr>
              <w:pStyle w:val="TableContents"/>
              <w:bidi w:val="0"/>
              <w:spacing w:before="0" w:after="283"/>
              <w:jc w:val="left"/>
              <w:rPr>
                <w:sz w:val="4"/>
                <w:szCs w:val="4"/>
              </w:rPr>
            </w:pPr>
            <w:r>
              <w:rPr>
                <w:sz w:val="4"/>
                <w:szCs w:val="4"/>
              </w:rPr>
            </w:r>
          </w:p>
        </w:tc>
        <w:tc>
          <w:tcPr>
            <w:tcW w:w="293" w:type="dxa"/>
            <w:tcBorders/>
            <w:vAlign w:val="bottom"/>
          </w:tcPr>
          <w:p>
            <w:pPr>
              <w:pStyle w:val="TableContents"/>
              <w:bidi w:val="0"/>
              <w:spacing w:before="0" w:after="283"/>
              <w:jc w:val="left"/>
              <w:rPr>
                <w:sz w:val="4"/>
                <w:szCs w:val="4"/>
              </w:rPr>
            </w:pPr>
            <w:r>
              <w:rPr>
                <w:sz w:val="4"/>
                <w:szCs w:val="4"/>
              </w:rPr>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Average number of table games</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108</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 </w:t>
            </w:r>
          </w:p>
        </w:tc>
        <w:tc>
          <w:tcPr>
            <w:tcW w:w="804" w:type="dxa"/>
            <w:tcBorders/>
            <w:shd w:fill="CCEEFF" w:val="clear"/>
            <w:vAlign w:val="bottom"/>
          </w:tcPr>
          <w:p>
            <w:pPr>
              <w:pStyle w:val="TableContents"/>
              <w:bidi w:val="0"/>
              <w:spacing w:before="0" w:after="283"/>
              <w:jc w:val="right"/>
              <w:rPr/>
            </w:pPr>
            <w:r>
              <w:rPr/>
              <w:t>106</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108</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106</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Average number of gaming machines</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960</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804" w:type="dxa"/>
            <w:tcBorders/>
            <w:vAlign w:val="bottom"/>
          </w:tcPr>
          <w:p>
            <w:pPr>
              <w:pStyle w:val="TableContents"/>
              <w:bidi w:val="0"/>
              <w:spacing w:before="0" w:after="283"/>
              <w:jc w:val="right"/>
              <w:rPr/>
            </w:pPr>
            <w:r>
              <w:rPr/>
              <w:t>883</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940</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885</w:t>
            </w:r>
          </w:p>
        </w:tc>
        <w:tc>
          <w:tcPr>
            <w:tcW w:w="293" w:type="dxa"/>
            <w:tcBorders/>
            <w:vAlign w:val="bottom"/>
          </w:tcPr>
          <w:p>
            <w:pPr>
              <w:pStyle w:val="TableContents"/>
              <w:bidi w:val="0"/>
              <w:spacing w:before="0" w:after="283"/>
              <w:jc w:val="left"/>
              <w:rPr/>
            </w:pPr>
            <w:r>
              <w:rPr/>
              <w:t> </w:t>
            </w:r>
          </w:p>
        </w:tc>
      </w:tr>
      <w:tr>
        <w:trPr/>
        <w:tc>
          <w:tcPr>
            <w:tcW w:w="50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Table games win per unit per day (9)</w:t>
            </w:r>
          </w:p>
        </w:tc>
        <w:tc>
          <w:tcPr>
            <w:tcW w:w="153"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3,954</w:t>
            </w:r>
          </w:p>
        </w:tc>
        <w:tc>
          <w:tcPr>
            <w:tcW w:w="312"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156"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3,684</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3,702</w:t>
            </w:r>
          </w:p>
        </w:tc>
        <w:tc>
          <w:tcPr>
            <w:tcW w:w="285" w:type="dxa"/>
            <w:tcBorders/>
            <w:shd w:fill="CCEEFF" w:val="clear"/>
            <w:vAlign w:val="bottom"/>
          </w:tcPr>
          <w:p>
            <w:pPr>
              <w:pStyle w:val="TableContents"/>
              <w:bidi w:val="0"/>
              <w:spacing w:before="0" w:after="283"/>
              <w:jc w:val="left"/>
              <w:rPr/>
            </w:pPr>
            <w:r>
              <w:rPr/>
              <w:t> </w:t>
            </w:r>
          </w:p>
        </w:tc>
        <w:tc>
          <w:tcPr>
            <w:tcW w:w="10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3,390</w:t>
            </w:r>
          </w:p>
        </w:tc>
        <w:tc>
          <w:tcPr>
            <w:tcW w:w="293" w:type="dxa"/>
            <w:tcBorders/>
            <w:shd w:fill="CCEEFF" w:val="clear"/>
            <w:vAlign w:val="bottom"/>
          </w:tcPr>
          <w:p>
            <w:pPr>
              <w:pStyle w:val="TableContents"/>
              <w:bidi w:val="0"/>
              <w:spacing w:before="0" w:after="283"/>
              <w:jc w:val="left"/>
              <w:rPr/>
            </w:pPr>
            <w:r>
              <w:rPr/>
              <w:t> </w:t>
            </w:r>
          </w:p>
        </w:tc>
      </w:tr>
      <w:tr>
        <w:trPr/>
        <w:tc>
          <w:tcPr>
            <w:tcW w:w="5007" w:type="dxa"/>
            <w:tcBorders/>
          </w:tcPr>
          <w:p>
            <w:pPr>
              <w:pStyle w:val="TableContents"/>
              <w:bidi w:val="0"/>
              <w:spacing w:before="0" w:after="0"/>
              <w:jc w:val="left"/>
              <w:rPr>
                <w:rFonts w:ascii="Times New Roman" w:hAnsi="Times New Roman"/>
                <w:sz w:val="20"/>
              </w:rPr>
            </w:pPr>
            <w:r>
              <w:rPr>
                <w:rFonts w:ascii="Times New Roman" w:hAnsi="Times New Roman"/>
                <w:sz w:val="20"/>
              </w:rPr>
              <w:t>Gaming machines win per unit per day (10)</w:t>
            </w:r>
          </w:p>
        </w:tc>
        <w:tc>
          <w:tcPr>
            <w:tcW w:w="153"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426</w:t>
            </w:r>
          </w:p>
        </w:tc>
        <w:tc>
          <w:tcPr>
            <w:tcW w:w="312"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406</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405</w:t>
            </w:r>
          </w:p>
        </w:tc>
        <w:tc>
          <w:tcPr>
            <w:tcW w:w="285" w:type="dxa"/>
            <w:tcBorders/>
            <w:vAlign w:val="bottom"/>
          </w:tcPr>
          <w:p>
            <w:pPr>
              <w:pStyle w:val="TableContents"/>
              <w:bidi w:val="0"/>
              <w:spacing w:before="0" w:after="283"/>
              <w:jc w:val="left"/>
              <w:rPr/>
            </w:pPr>
            <w:r>
              <w:rPr/>
              <w:t> </w:t>
            </w:r>
          </w:p>
        </w:tc>
        <w:tc>
          <w:tcPr>
            <w:tcW w:w="10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389</w:t>
            </w:r>
          </w:p>
        </w:tc>
        <w:tc>
          <w:tcPr>
            <w:tcW w:w="29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Average daily rate is calculated by dividing total room revenues including complimentary rooms (less service charges, if any) by total occupied rooms including complimentary rooms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Revenue per available room is calculated by dividing total room revenues including complimentary rooms (less service charges, if any) by total rooms available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Table games win per unit per day is shown before discounts, commissions, other incentives and allocating casino revenues related to goods and services provided to gaming patrons on a complimentary basis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16"/>
              </w:rPr>
            </w:pPr>
            <w:r>
              <w:rPr>
                <w:rFonts w:ascii="Times New Roman" w:hAnsi="Times New Roman"/>
                <w:sz w:val="16"/>
              </w:rPr>
              <w:t xml:space="preserve">Gaming machines win per unit per day is shown before other incentives and allocating casino revenues related to goods and services provided to gaming patrons on a complimentary basis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6525</Words>
  <Characters>35278</Characters>
  <CharactersWithSpaces>44508</CharactersWithSpaces>
  <Paragraphs>5314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Unaudited Results for Second Quarter of 2026</dc:title>
</cp:coreProperties>
</file>